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6583" w:rsidRPr="00A86583" w:rsidRDefault="00BF29CF" w:rsidP="000B3D11">
      <w:pPr>
        <w:rPr>
          <w:sz w:val="20"/>
          <w:szCs w:val="20"/>
        </w:rPr>
      </w:pPr>
      <w:bookmarkStart w:id="0" w:name="_GoBack"/>
      <w:bookmarkEnd w:id="0"/>
      <w:r w:rsidRPr="00D9730C">
        <w:rPr>
          <w:sz w:val="20"/>
          <w:szCs w:val="20"/>
          <w:lang w:val="en-US"/>
        </w:rPr>
        <w:t>Figure 1.</w:t>
      </w:r>
      <w:r w:rsidR="0020322B" w:rsidRPr="00D9730C">
        <w:rPr>
          <w:sz w:val="20"/>
          <w:szCs w:val="20"/>
          <w:lang w:val="en-US"/>
        </w:rPr>
        <w:t>Area and d</w:t>
      </w:r>
      <w:r w:rsidRPr="00D9730C">
        <w:rPr>
          <w:sz w:val="20"/>
          <w:szCs w:val="20"/>
          <w:lang w:val="en-US"/>
        </w:rPr>
        <w:t>istribution of pine forest plantations throughout Brazil (ABRAF, 2013).</w:t>
      </w:r>
      <w:r w:rsidR="008818AE" w:rsidRPr="00D9730C">
        <w:rPr>
          <w:sz w:val="20"/>
          <w:szCs w:val="20"/>
          <w:lang w:val="en-US"/>
        </w:rPr>
        <w:t xml:space="preserve"> </w:t>
      </w:r>
      <w:r w:rsidR="00A86583" w:rsidRPr="00A86583">
        <w:rPr>
          <w:sz w:val="20"/>
          <w:szCs w:val="20"/>
        </w:rPr>
        <w:t>Acronyms: AP- Amapá; TO- Tocantins; BA- Bahia; MG- Minas Gerais;</w:t>
      </w:r>
      <w:r w:rsidR="00A86583">
        <w:rPr>
          <w:sz w:val="20"/>
          <w:szCs w:val="20"/>
        </w:rPr>
        <w:t xml:space="preserve"> GO- Goiás; MS- Mato Grasso do Sul; ES- Espírito Santo; SP- São Paulo; PR- Paraná; SC- Santa Catarina; RS- Rio Grande do Sul</w:t>
      </w:r>
      <w:r w:rsidR="00280888">
        <w:rPr>
          <w:sz w:val="20"/>
          <w:szCs w:val="20"/>
        </w:rPr>
        <w:t>.</w:t>
      </w:r>
    </w:p>
    <w:p w:rsidR="000B3D11" w:rsidRDefault="0020322B" w:rsidP="00C211FF">
      <w:pPr>
        <w:jc w:val="center"/>
        <w:rPr>
          <w:noProof/>
          <w:lang w:eastAsia="pt-BR"/>
        </w:rPr>
      </w:pPr>
      <w:r>
        <w:rPr>
          <w:noProof/>
          <w:lang w:val="es-ES" w:eastAsia="es-ES"/>
        </w:rPr>
        <w:drawing>
          <wp:inline distT="0" distB="0" distL="0" distR="0" wp14:anchorId="7B211682" wp14:editId="3F6976A8">
            <wp:extent cx="5756910" cy="5588635"/>
            <wp:effectExtent l="19050" t="0" r="0" b="0"/>
            <wp:docPr id="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5588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211FF" w:rsidRPr="00C211FF" w:rsidRDefault="00C211FF" w:rsidP="00C211FF">
      <w:pPr>
        <w:jc w:val="center"/>
        <w:rPr>
          <w:noProof/>
          <w:sz w:val="20"/>
          <w:szCs w:val="20"/>
          <w:lang w:val="en-US" w:eastAsia="pt-BR"/>
        </w:rPr>
      </w:pPr>
    </w:p>
    <w:p w:rsidR="000B3D11" w:rsidRDefault="000B3D11" w:rsidP="000B3D11">
      <w:pPr>
        <w:rPr>
          <w:lang w:val="en-US"/>
        </w:rPr>
      </w:pPr>
    </w:p>
    <w:p w:rsidR="002B358F" w:rsidRDefault="002B358F" w:rsidP="000B3D11">
      <w:pPr>
        <w:rPr>
          <w:lang w:val="en-US"/>
        </w:rPr>
      </w:pPr>
    </w:p>
    <w:p w:rsidR="002B358F" w:rsidRPr="008D5B72" w:rsidRDefault="00C211FF" w:rsidP="000B3D11">
      <w:pPr>
        <w:rPr>
          <w:sz w:val="20"/>
          <w:szCs w:val="20"/>
          <w:lang w:val="en-US"/>
        </w:rPr>
      </w:pPr>
      <w:r w:rsidRPr="0033489E">
        <w:rPr>
          <w:sz w:val="20"/>
          <w:szCs w:val="20"/>
          <w:lang w:val="en-US"/>
        </w:rPr>
        <w:lastRenderedPageBreak/>
        <w:t>Figure 2</w:t>
      </w:r>
      <w:r w:rsidR="0082249E">
        <w:rPr>
          <w:sz w:val="20"/>
          <w:szCs w:val="20"/>
          <w:lang w:val="en-US"/>
        </w:rPr>
        <w:t>.</w:t>
      </w:r>
      <w:r w:rsidR="000D3BEC">
        <w:rPr>
          <w:sz w:val="20"/>
          <w:szCs w:val="20"/>
          <w:lang w:val="en-US"/>
        </w:rPr>
        <w:t xml:space="preserve"> </w:t>
      </w:r>
      <w:r w:rsidR="0082249E">
        <w:rPr>
          <w:sz w:val="20"/>
          <w:szCs w:val="20"/>
          <w:lang w:val="en-US"/>
        </w:rPr>
        <w:t>Flowchart and system b</w:t>
      </w:r>
      <w:r w:rsidRPr="0033489E">
        <w:rPr>
          <w:sz w:val="20"/>
          <w:szCs w:val="20"/>
          <w:lang w:val="en-US"/>
        </w:rPr>
        <w:t>ound</w:t>
      </w:r>
      <w:r w:rsidR="0033489E" w:rsidRPr="0033489E">
        <w:rPr>
          <w:sz w:val="20"/>
          <w:szCs w:val="20"/>
          <w:lang w:val="en-US"/>
        </w:rPr>
        <w:t xml:space="preserve">aries </w:t>
      </w:r>
      <w:r w:rsidR="005124A3">
        <w:rPr>
          <w:sz w:val="20"/>
          <w:szCs w:val="20"/>
          <w:lang w:val="en-US"/>
        </w:rPr>
        <w:t xml:space="preserve">corresponding to </w:t>
      </w:r>
      <w:r w:rsidR="00285FC1">
        <w:rPr>
          <w:sz w:val="20"/>
          <w:szCs w:val="20"/>
          <w:lang w:val="en-US"/>
        </w:rPr>
        <w:t xml:space="preserve">the </w:t>
      </w:r>
      <w:r w:rsidR="005124A3">
        <w:rPr>
          <w:sz w:val="20"/>
          <w:szCs w:val="20"/>
          <w:lang w:val="en-US"/>
        </w:rPr>
        <w:t xml:space="preserve">Brazilian </w:t>
      </w:r>
      <w:r w:rsidR="0033489E" w:rsidRPr="0033489E">
        <w:rPr>
          <w:sz w:val="20"/>
          <w:szCs w:val="20"/>
          <w:lang w:val="en-US"/>
        </w:rPr>
        <w:t>pine roundwood produc</w:t>
      </w:r>
      <w:r w:rsidR="005124A3">
        <w:rPr>
          <w:sz w:val="20"/>
          <w:szCs w:val="20"/>
          <w:lang w:val="en-US"/>
        </w:rPr>
        <w:t>tion system</w:t>
      </w:r>
      <w:r w:rsidR="00285FC1">
        <w:rPr>
          <w:sz w:val="20"/>
          <w:szCs w:val="20"/>
          <w:lang w:val="en-US"/>
        </w:rPr>
        <w:t>.</w:t>
      </w:r>
      <w:r w:rsidR="005124A3">
        <w:rPr>
          <w:sz w:val="20"/>
          <w:szCs w:val="20"/>
          <w:lang w:val="en-US"/>
        </w:rPr>
        <w:t xml:space="preserve"> </w:t>
      </w:r>
      <w:r w:rsidR="00285FC1">
        <w:rPr>
          <w:sz w:val="20"/>
          <w:szCs w:val="20"/>
          <w:lang w:val="en-US"/>
        </w:rPr>
        <w:t>Subsystem a</w:t>
      </w:r>
      <w:r w:rsidR="008D5B72" w:rsidRPr="008D5B72">
        <w:rPr>
          <w:sz w:val="20"/>
          <w:szCs w:val="20"/>
          <w:lang w:val="en-US"/>
        </w:rPr>
        <w:t>cronyms: SS1</w:t>
      </w:r>
      <w:r w:rsidR="008F60BD">
        <w:rPr>
          <w:sz w:val="20"/>
          <w:szCs w:val="20"/>
          <w:lang w:val="en-US"/>
        </w:rPr>
        <w:t>-</w:t>
      </w:r>
      <w:r w:rsidR="008D5B72" w:rsidRPr="008D5B72">
        <w:rPr>
          <w:sz w:val="20"/>
          <w:szCs w:val="20"/>
          <w:lang w:val="en-US"/>
        </w:rPr>
        <w:t xml:space="preserve"> Soil preparation; SS2- Seedlings plantation;</w:t>
      </w:r>
      <w:r w:rsidR="00285FC1">
        <w:rPr>
          <w:sz w:val="20"/>
          <w:szCs w:val="20"/>
          <w:lang w:val="en-US"/>
        </w:rPr>
        <w:t xml:space="preserve"> </w:t>
      </w:r>
      <w:r w:rsidR="008D5B72" w:rsidRPr="008D5B72">
        <w:rPr>
          <w:sz w:val="20"/>
          <w:szCs w:val="20"/>
          <w:lang w:val="en-US"/>
        </w:rPr>
        <w:t>SS3- Forest management; SS4</w:t>
      </w:r>
      <w:r w:rsidR="008D5B72">
        <w:rPr>
          <w:sz w:val="20"/>
          <w:szCs w:val="20"/>
          <w:lang w:val="en-US"/>
        </w:rPr>
        <w:t>-</w:t>
      </w:r>
      <w:r w:rsidR="008D5B72" w:rsidRPr="008D5B72">
        <w:rPr>
          <w:sz w:val="20"/>
          <w:szCs w:val="20"/>
          <w:lang w:val="en-US"/>
        </w:rPr>
        <w:t xml:space="preserve"> Forest harvesting; SS5- Infrastructure establishment</w:t>
      </w:r>
      <w:r w:rsidR="00285FC1">
        <w:rPr>
          <w:sz w:val="20"/>
          <w:szCs w:val="20"/>
          <w:lang w:val="en-US"/>
        </w:rPr>
        <w:t>.</w:t>
      </w:r>
    </w:p>
    <w:p w:rsidR="002B358F" w:rsidRPr="003657A4" w:rsidRDefault="00CF2E66" w:rsidP="00A724AD">
      <w:pPr>
        <w:jc w:val="center"/>
        <w:rPr>
          <w:lang w:val="en-US"/>
        </w:rPr>
      </w:pPr>
      <w:r w:rsidRPr="00CF2E66">
        <w:rPr>
          <w:noProof/>
          <w:lang w:val="es-ES" w:eastAsia="es-ES"/>
        </w:rPr>
        <w:drawing>
          <wp:inline distT="0" distB="0" distL="0" distR="0" wp14:anchorId="687432BB" wp14:editId="4CCB0E6B">
            <wp:extent cx="5084064" cy="5713171"/>
            <wp:effectExtent l="0" t="0" r="2540" b="1905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972" t="725" r="5718" b="4927"/>
                    <a:stretch/>
                  </pic:blipFill>
                  <pic:spPr bwMode="auto">
                    <a:xfrm>
                      <a:off x="0" y="0"/>
                      <a:ext cx="5086171" cy="57155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B358F" w:rsidRDefault="002B358F" w:rsidP="000B3D11">
      <w:pPr>
        <w:rPr>
          <w:lang w:val="en-US"/>
        </w:rPr>
      </w:pPr>
    </w:p>
    <w:p w:rsidR="000D3BEC" w:rsidRDefault="000D3BEC" w:rsidP="000B3D11">
      <w:pPr>
        <w:rPr>
          <w:lang w:val="en-US"/>
        </w:rPr>
      </w:pPr>
    </w:p>
    <w:p w:rsidR="00575A9D" w:rsidRDefault="0012771C" w:rsidP="00575A9D">
      <w:pPr>
        <w:spacing w:line="360" w:lineRule="auto"/>
        <w:rPr>
          <w:sz w:val="20"/>
          <w:szCs w:val="20"/>
          <w:lang w:val="en-US"/>
        </w:rPr>
      </w:pPr>
      <w:r w:rsidRPr="00B94CFB">
        <w:rPr>
          <w:sz w:val="20"/>
          <w:szCs w:val="20"/>
          <w:lang w:val="en-US"/>
        </w:rPr>
        <w:lastRenderedPageBreak/>
        <w:t>Figure 3</w:t>
      </w:r>
      <w:r w:rsidR="00B606B8">
        <w:rPr>
          <w:sz w:val="20"/>
          <w:szCs w:val="20"/>
          <w:lang w:val="en-US"/>
        </w:rPr>
        <w:t>.</w:t>
      </w:r>
      <w:r w:rsidRPr="00B94CFB">
        <w:rPr>
          <w:sz w:val="20"/>
          <w:szCs w:val="20"/>
          <w:lang w:val="en-US"/>
        </w:rPr>
        <w:t xml:space="preserve">Contributions to the environmental profile corresponding to the </w:t>
      </w:r>
      <w:r w:rsidR="00B606B8">
        <w:rPr>
          <w:sz w:val="20"/>
          <w:szCs w:val="20"/>
          <w:lang w:val="en-US"/>
        </w:rPr>
        <w:t>Brazilian pine roundwood</w:t>
      </w:r>
      <w:r w:rsidR="00F9203F">
        <w:rPr>
          <w:sz w:val="20"/>
          <w:szCs w:val="20"/>
          <w:lang w:val="en-US"/>
        </w:rPr>
        <w:t xml:space="preserve"> </w:t>
      </w:r>
      <w:r w:rsidRPr="00B94CFB">
        <w:rPr>
          <w:sz w:val="20"/>
          <w:szCs w:val="20"/>
          <w:lang w:val="en-US"/>
        </w:rPr>
        <w:t>production</w:t>
      </w:r>
      <w:r w:rsidR="00B606B8">
        <w:rPr>
          <w:sz w:val="20"/>
          <w:szCs w:val="20"/>
          <w:lang w:val="en-US"/>
        </w:rPr>
        <w:t xml:space="preserve"> system considering current forest practices</w:t>
      </w:r>
      <w:r w:rsidRPr="00B94CFB">
        <w:rPr>
          <w:sz w:val="20"/>
          <w:szCs w:val="20"/>
          <w:lang w:val="en-US"/>
        </w:rPr>
        <w:t>.</w:t>
      </w:r>
      <w:r w:rsidR="00F9203F">
        <w:rPr>
          <w:sz w:val="20"/>
          <w:szCs w:val="20"/>
          <w:lang w:val="en-US"/>
        </w:rPr>
        <w:t xml:space="preserve"> </w:t>
      </w:r>
      <w:r w:rsidR="005D4A7C" w:rsidRPr="008D5B72">
        <w:rPr>
          <w:sz w:val="20"/>
          <w:szCs w:val="20"/>
          <w:lang w:val="en-US"/>
        </w:rPr>
        <w:t>Acronyms: SS1: Soil preparation; SS2- Seedlings plantation;SS3- Forest management; SS4</w:t>
      </w:r>
      <w:r w:rsidR="005D4A7C">
        <w:rPr>
          <w:sz w:val="20"/>
          <w:szCs w:val="20"/>
          <w:lang w:val="en-US"/>
        </w:rPr>
        <w:t>-</w:t>
      </w:r>
      <w:r w:rsidR="005D4A7C" w:rsidRPr="008D5B72">
        <w:rPr>
          <w:sz w:val="20"/>
          <w:szCs w:val="20"/>
          <w:lang w:val="en-US"/>
        </w:rPr>
        <w:t xml:space="preserve"> Forest harvesting; SS5- Infrastructure establishment</w:t>
      </w:r>
      <w:r w:rsidR="00575A9D">
        <w:rPr>
          <w:sz w:val="20"/>
          <w:szCs w:val="20"/>
          <w:lang w:val="en-US"/>
        </w:rPr>
        <w:t xml:space="preserve">; CC- </w:t>
      </w:r>
      <w:r w:rsidR="00575A9D" w:rsidRPr="005D07FD">
        <w:rPr>
          <w:sz w:val="20"/>
          <w:szCs w:val="20"/>
          <w:lang w:val="en-US"/>
        </w:rPr>
        <w:t>Climate Change; OD –Ozone Depletion, TA- Terrestrial Acidification, FE- Freshwater Eutrophication, ME- Marine Eutrophication, HT- Human Toxicity, POF- Photochemical Oxidant</w:t>
      </w:r>
      <w:r w:rsidR="002C504F">
        <w:rPr>
          <w:sz w:val="20"/>
          <w:szCs w:val="20"/>
          <w:lang w:val="en-US"/>
        </w:rPr>
        <w:t>s</w:t>
      </w:r>
      <w:r w:rsidR="00575A9D" w:rsidRPr="005D07FD">
        <w:rPr>
          <w:sz w:val="20"/>
          <w:szCs w:val="20"/>
          <w:lang w:val="en-US"/>
        </w:rPr>
        <w:t xml:space="preserve"> Formation, TET- Terrestrial Ecotoxicity, FET- Freshwater Ecotoxicity, </w:t>
      </w:r>
      <w:r w:rsidR="00575A9D">
        <w:rPr>
          <w:sz w:val="20"/>
          <w:szCs w:val="20"/>
          <w:lang w:val="en-US"/>
        </w:rPr>
        <w:t>MET- M</w:t>
      </w:r>
      <w:r w:rsidR="00575A9D" w:rsidRPr="00D02B4F">
        <w:rPr>
          <w:sz w:val="20"/>
          <w:szCs w:val="20"/>
          <w:lang w:val="en-US"/>
        </w:rPr>
        <w:t xml:space="preserve">arine </w:t>
      </w:r>
      <w:r w:rsidR="00575A9D">
        <w:rPr>
          <w:sz w:val="20"/>
          <w:szCs w:val="20"/>
          <w:lang w:val="en-US"/>
        </w:rPr>
        <w:t>Ecotoxicit</w:t>
      </w:r>
      <w:r w:rsidR="002C504F">
        <w:rPr>
          <w:sz w:val="20"/>
          <w:szCs w:val="20"/>
          <w:lang w:val="en-US"/>
        </w:rPr>
        <w:t>y</w:t>
      </w:r>
      <w:r w:rsidR="00575A9D">
        <w:rPr>
          <w:sz w:val="20"/>
          <w:szCs w:val="20"/>
          <w:lang w:val="en-US"/>
        </w:rPr>
        <w:t xml:space="preserve">; WD- Water Depletion; </w:t>
      </w:r>
      <w:r w:rsidR="00575A9D" w:rsidRPr="005D07FD">
        <w:rPr>
          <w:sz w:val="20"/>
          <w:szCs w:val="20"/>
          <w:lang w:val="en-US"/>
        </w:rPr>
        <w:t>FD- Fossil Depletion</w:t>
      </w:r>
      <w:r w:rsidR="00280888">
        <w:rPr>
          <w:sz w:val="20"/>
          <w:szCs w:val="20"/>
          <w:lang w:val="en-US"/>
        </w:rPr>
        <w:t>.</w:t>
      </w:r>
    </w:p>
    <w:p w:rsidR="005D4A7C" w:rsidRPr="008D5B72" w:rsidRDefault="005D4A7C" w:rsidP="005D4A7C">
      <w:pPr>
        <w:rPr>
          <w:sz w:val="20"/>
          <w:szCs w:val="20"/>
          <w:lang w:val="en-US"/>
        </w:rPr>
      </w:pPr>
    </w:p>
    <w:p w:rsidR="00743630" w:rsidRDefault="004E175E" w:rsidP="004E175E">
      <w:pPr>
        <w:jc w:val="center"/>
        <w:rPr>
          <w:sz w:val="20"/>
          <w:szCs w:val="20"/>
          <w:lang w:val="en-US"/>
        </w:rPr>
      </w:pPr>
      <w:r w:rsidRPr="004E175E">
        <w:rPr>
          <w:noProof/>
          <w:sz w:val="20"/>
          <w:szCs w:val="20"/>
          <w:lang w:val="es-ES" w:eastAsia="es-ES"/>
        </w:rPr>
        <w:drawing>
          <wp:inline distT="0" distB="0" distL="0" distR="0" wp14:anchorId="1A49C708" wp14:editId="1B653342">
            <wp:extent cx="4935600" cy="2337759"/>
            <wp:effectExtent l="0" t="0" r="0" b="5715"/>
            <wp:docPr id="1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743630" w:rsidRDefault="00743630" w:rsidP="00743630">
      <w:pPr>
        <w:rPr>
          <w:sz w:val="20"/>
          <w:szCs w:val="20"/>
          <w:lang w:val="en-US"/>
        </w:rPr>
      </w:pPr>
    </w:p>
    <w:p w:rsidR="00743630" w:rsidRDefault="00743630" w:rsidP="00743630">
      <w:pPr>
        <w:rPr>
          <w:sz w:val="20"/>
          <w:szCs w:val="20"/>
          <w:lang w:val="en-US"/>
        </w:rPr>
      </w:pPr>
    </w:p>
    <w:p w:rsidR="00743630" w:rsidRDefault="00743630" w:rsidP="00743630">
      <w:pPr>
        <w:rPr>
          <w:sz w:val="20"/>
          <w:szCs w:val="20"/>
          <w:lang w:val="en-US"/>
        </w:rPr>
      </w:pPr>
    </w:p>
    <w:p w:rsidR="00743630" w:rsidRDefault="00743630" w:rsidP="00743630">
      <w:pPr>
        <w:rPr>
          <w:sz w:val="20"/>
          <w:szCs w:val="20"/>
          <w:lang w:val="en-US"/>
        </w:rPr>
      </w:pPr>
    </w:p>
    <w:p w:rsidR="00743630" w:rsidRDefault="00743630" w:rsidP="00743630">
      <w:pPr>
        <w:rPr>
          <w:sz w:val="20"/>
          <w:szCs w:val="20"/>
          <w:lang w:val="en-US"/>
        </w:rPr>
      </w:pPr>
    </w:p>
    <w:p w:rsidR="00743630" w:rsidRDefault="00743630" w:rsidP="00743630">
      <w:pPr>
        <w:rPr>
          <w:sz w:val="20"/>
          <w:szCs w:val="20"/>
          <w:lang w:val="en-US"/>
        </w:rPr>
      </w:pPr>
    </w:p>
    <w:p w:rsidR="00A22CE2" w:rsidRDefault="00A22CE2" w:rsidP="00743630">
      <w:pPr>
        <w:rPr>
          <w:sz w:val="20"/>
          <w:szCs w:val="20"/>
          <w:lang w:val="en-US"/>
        </w:rPr>
      </w:pPr>
    </w:p>
    <w:p w:rsidR="00A22CE2" w:rsidRDefault="00A22CE2" w:rsidP="00743630">
      <w:pPr>
        <w:rPr>
          <w:sz w:val="20"/>
          <w:szCs w:val="20"/>
          <w:lang w:val="en-US"/>
        </w:rPr>
      </w:pPr>
    </w:p>
    <w:p w:rsidR="000D3BEC" w:rsidRDefault="000D3BEC" w:rsidP="00743630">
      <w:pPr>
        <w:rPr>
          <w:sz w:val="20"/>
          <w:szCs w:val="20"/>
          <w:lang w:val="en-US"/>
        </w:rPr>
      </w:pPr>
    </w:p>
    <w:p w:rsidR="000D3BEC" w:rsidRDefault="000D3BEC" w:rsidP="00743630">
      <w:pPr>
        <w:rPr>
          <w:sz w:val="20"/>
          <w:szCs w:val="20"/>
          <w:lang w:val="en-US"/>
        </w:rPr>
      </w:pPr>
    </w:p>
    <w:p w:rsidR="00575A9D" w:rsidRDefault="00743630" w:rsidP="00575A9D">
      <w:pPr>
        <w:spacing w:line="360" w:lineRule="auto"/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lastRenderedPageBreak/>
        <w:t>Figure 4</w:t>
      </w:r>
      <w:r w:rsidR="00B9657C">
        <w:rPr>
          <w:sz w:val="20"/>
          <w:szCs w:val="20"/>
          <w:lang w:val="en-US"/>
        </w:rPr>
        <w:t>.</w:t>
      </w:r>
      <w:r w:rsidR="00D9730C">
        <w:rPr>
          <w:sz w:val="20"/>
          <w:szCs w:val="20"/>
          <w:lang w:val="en-US"/>
        </w:rPr>
        <w:t xml:space="preserve"> </w:t>
      </w:r>
      <w:r w:rsidR="002C504F">
        <w:rPr>
          <w:sz w:val="20"/>
          <w:szCs w:val="20"/>
          <w:lang w:val="en-US"/>
        </w:rPr>
        <w:t>Distribution of impacts per processes involved in each subsystem.</w:t>
      </w:r>
      <w:r w:rsidR="00F9203F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>a</w:t>
      </w:r>
      <w:r w:rsidRPr="00B94CFB">
        <w:rPr>
          <w:sz w:val="20"/>
          <w:szCs w:val="20"/>
          <w:lang w:val="en-US"/>
        </w:rPr>
        <w:t>) Soil preparation</w:t>
      </w:r>
      <w:r w:rsidR="00B9657C">
        <w:rPr>
          <w:sz w:val="20"/>
          <w:szCs w:val="20"/>
          <w:lang w:val="en-US"/>
        </w:rPr>
        <w:t xml:space="preserve"> (SS1);</w:t>
      </w:r>
      <w:r w:rsidR="008818AE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>b</w:t>
      </w:r>
      <w:r w:rsidRPr="00B94CFB">
        <w:rPr>
          <w:sz w:val="20"/>
          <w:szCs w:val="20"/>
          <w:lang w:val="en-US"/>
        </w:rPr>
        <w:t xml:space="preserve">) </w:t>
      </w:r>
      <w:r w:rsidR="00B9657C">
        <w:rPr>
          <w:sz w:val="20"/>
          <w:szCs w:val="20"/>
          <w:lang w:val="en-US"/>
        </w:rPr>
        <w:t>Seedlings plantation (SS2);</w:t>
      </w:r>
      <w:r w:rsidR="000D3BEC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>c</w:t>
      </w:r>
      <w:r w:rsidRPr="00B94CFB">
        <w:rPr>
          <w:sz w:val="20"/>
          <w:szCs w:val="20"/>
          <w:lang w:val="en-US"/>
        </w:rPr>
        <w:t>) Forest management</w:t>
      </w:r>
      <w:r w:rsidR="00B9657C">
        <w:rPr>
          <w:sz w:val="20"/>
          <w:szCs w:val="20"/>
          <w:lang w:val="en-US"/>
        </w:rPr>
        <w:t xml:space="preserve"> (SS3);</w:t>
      </w:r>
      <w:r w:rsidR="008818AE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>d</w:t>
      </w:r>
      <w:r w:rsidRPr="00B94CFB">
        <w:rPr>
          <w:sz w:val="20"/>
          <w:szCs w:val="20"/>
          <w:lang w:val="en-US"/>
        </w:rPr>
        <w:t xml:space="preserve">) </w:t>
      </w:r>
      <w:r>
        <w:rPr>
          <w:sz w:val="20"/>
          <w:szCs w:val="20"/>
          <w:lang w:val="en-US"/>
        </w:rPr>
        <w:t>Forest harvesting</w:t>
      </w:r>
      <w:r w:rsidR="00B9657C">
        <w:rPr>
          <w:sz w:val="20"/>
          <w:szCs w:val="20"/>
          <w:lang w:val="en-US"/>
        </w:rPr>
        <w:t xml:space="preserve"> (SS4);</w:t>
      </w:r>
      <w:r>
        <w:rPr>
          <w:sz w:val="20"/>
          <w:szCs w:val="20"/>
          <w:lang w:val="en-US"/>
        </w:rPr>
        <w:t xml:space="preserve"> e</w:t>
      </w:r>
      <w:r w:rsidRPr="00B94CFB">
        <w:rPr>
          <w:sz w:val="20"/>
          <w:szCs w:val="20"/>
          <w:lang w:val="en-US"/>
        </w:rPr>
        <w:t xml:space="preserve">) </w:t>
      </w:r>
      <w:r w:rsidR="002C504F">
        <w:rPr>
          <w:sz w:val="20"/>
          <w:szCs w:val="20"/>
          <w:lang w:val="en-US"/>
        </w:rPr>
        <w:t>I</w:t>
      </w:r>
      <w:r w:rsidRPr="00B94CFB">
        <w:rPr>
          <w:sz w:val="20"/>
          <w:szCs w:val="20"/>
          <w:lang w:val="en-US"/>
        </w:rPr>
        <w:t>nfrastructure establishment</w:t>
      </w:r>
      <w:r w:rsidR="00B9657C">
        <w:rPr>
          <w:sz w:val="20"/>
          <w:szCs w:val="20"/>
          <w:lang w:val="en-US"/>
        </w:rPr>
        <w:t xml:space="preserve"> (SS5)</w:t>
      </w:r>
      <w:r w:rsidR="008818AE">
        <w:rPr>
          <w:sz w:val="20"/>
          <w:szCs w:val="20"/>
          <w:lang w:val="en-US"/>
        </w:rPr>
        <w:t>.</w:t>
      </w:r>
      <w:r w:rsidR="00575A9D">
        <w:rPr>
          <w:sz w:val="20"/>
          <w:szCs w:val="20"/>
          <w:lang w:val="en-US"/>
        </w:rPr>
        <w:t xml:space="preserve"> </w:t>
      </w:r>
      <w:r w:rsidR="002C504F">
        <w:rPr>
          <w:sz w:val="20"/>
          <w:szCs w:val="20"/>
          <w:lang w:val="en-US"/>
        </w:rPr>
        <w:t xml:space="preserve">Acronyms: </w:t>
      </w:r>
      <w:r w:rsidR="00575A9D">
        <w:rPr>
          <w:sz w:val="20"/>
          <w:szCs w:val="20"/>
          <w:lang w:val="en-US"/>
        </w:rPr>
        <w:t xml:space="preserve">CC- </w:t>
      </w:r>
      <w:r w:rsidR="00D9730C">
        <w:rPr>
          <w:sz w:val="20"/>
          <w:szCs w:val="20"/>
          <w:lang w:val="en-US"/>
        </w:rPr>
        <w:t xml:space="preserve">Climate Change; OD - </w:t>
      </w:r>
      <w:r w:rsidR="00575A9D" w:rsidRPr="005D07FD">
        <w:rPr>
          <w:sz w:val="20"/>
          <w:szCs w:val="20"/>
          <w:lang w:val="en-US"/>
        </w:rPr>
        <w:t>Ozone Depletion, TA- Terrestrial Acidification, FE- Freshwater Eutrophication, ME- Marine Eutrophication, HT- Human Toxicity, POF- Photochemical Oxidant</w:t>
      </w:r>
      <w:r w:rsidR="002C504F">
        <w:rPr>
          <w:sz w:val="20"/>
          <w:szCs w:val="20"/>
          <w:lang w:val="en-US"/>
        </w:rPr>
        <w:t>s</w:t>
      </w:r>
      <w:r w:rsidR="00575A9D" w:rsidRPr="005D07FD">
        <w:rPr>
          <w:sz w:val="20"/>
          <w:szCs w:val="20"/>
          <w:lang w:val="en-US"/>
        </w:rPr>
        <w:t xml:space="preserve"> Formation, TET- Terrestrial Ecotoxicity, FET- Freshwater Ecotoxicity, </w:t>
      </w:r>
      <w:r w:rsidR="00575A9D">
        <w:rPr>
          <w:sz w:val="20"/>
          <w:szCs w:val="20"/>
          <w:lang w:val="en-US"/>
        </w:rPr>
        <w:t>MET- M</w:t>
      </w:r>
      <w:r w:rsidR="00575A9D" w:rsidRPr="00D02B4F">
        <w:rPr>
          <w:sz w:val="20"/>
          <w:szCs w:val="20"/>
          <w:lang w:val="en-US"/>
        </w:rPr>
        <w:t xml:space="preserve">arine </w:t>
      </w:r>
      <w:r w:rsidR="00575A9D">
        <w:rPr>
          <w:sz w:val="20"/>
          <w:szCs w:val="20"/>
          <w:lang w:val="en-US"/>
        </w:rPr>
        <w:t>Ecotoxicit</w:t>
      </w:r>
      <w:r w:rsidR="002C504F">
        <w:rPr>
          <w:sz w:val="20"/>
          <w:szCs w:val="20"/>
          <w:lang w:val="en-US"/>
        </w:rPr>
        <w:t>y</w:t>
      </w:r>
      <w:r w:rsidR="00575A9D">
        <w:rPr>
          <w:sz w:val="20"/>
          <w:szCs w:val="20"/>
          <w:lang w:val="en-US"/>
        </w:rPr>
        <w:t xml:space="preserve">; WD- Water Depletion; </w:t>
      </w:r>
      <w:r w:rsidR="00575A9D" w:rsidRPr="005D07FD">
        <w:rPr>
          <w:sz w:val="20"/>
          <w:szCs w:val="20"/>
          <w:lang w:val="en-US"/>
        </w:rPr>
        <w:t>FD- Fossil Depletion</w:t>
      </w:r>
      <w:r w:rsidR="002C504F">
        <w:rPr>
          <w:sz w:val="20"/>
          <w:szCs w:val="20"/>
          <w:lang w:val="en-US"/>
        </w:rPr>
        <w:t>.</w:t>
      </w:r>
    </w:p>
    <w:tbl>
      <w:tblPr>
        <w:tblStyle w:val="Tablaconcuadrcu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85"/>
      </w:tblGrid>
      <w:tr w:rsidR="00475B0A" w:rsidTr="00487E67">
        <w:trPr>
          <w:jc w:val="center"/>
        </w:trPr>
        <w:tc>
          <w:tcPr>
            <w:tcW w:w="7536" w:type="dxa"/>
            <w:vAlign w:val="center"/>
          </w:tcPr>
          <w:p w:rsidR="00475B0A" w:rsidRDefault="00487E67" w:rsidP="00040A0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noProof/>
                <w:lang w:val="es-ES" w:eastAsia="es-ES"/>
              </w:rPr>
              <w:drawing>
                <wp:inline distT="0" distB="0" distL="0" distR="0" wp14:anchorId="0488ABC3" wp14:editId="3C19FD69">
                  <wp:extent cx="4791075" cy="2743200"/>
                  <wp:effectExtent l="0" t="0" r="0" b="0"/>
                  <wp:docPr id="4" name="Gráfico 4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1"/>
                    </a:graphicData>
                  </a:graphic>
                </wp:inline>
              </w:drawing>
            </w:r>
          </w:p>
        </w:tc>
      </w:tr>
      <w:tr w:rsidR="00475B0A" w:rsidTr="00487E67">
        <w:tblPrEx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 w:rsidR="00475B0A" w:rsidRDefault="00040A0C" w:rsidP="00040A0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(</w:t>
            </w:r>
            <w:r w:rsidR="00475B0A">
              <w:rPr>
                <w:sz w:val="20"/>
                <w:szCs w:val="20"/>
                <w:lang w:val="en-US"/>
              </w:rPr>
              <w:t>a</w:t>
            </w:r>
            <w:r>
              <w:rPr>
                <w:sz w:val="20"/>
                <w:szCs w:val="20"/>
                <w:lang w:val="en-US"/>
              </w:rPr>
              <w:t>)</w:t>
            </w:r>
          </w:p>
        </w:tc>
      </w:tr>
      <w:tr w:rsidR="00475B0A" w:rsidTr="00487E67">
        <w:tblPrEx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 w:rsidR="00475B0A" w:rsidRDefault="00475B0A" w:rsidP="00040A0C">
            <w:pPr>
              <w:jc w:val="center"/>
              <w:rPr>
                <w:sz w:val="20"/>
                <w:szCs w:val="20"/>
                <w:lang w:val="en-US"/>
              </w:rPr>
            </w:pPr>
            <w:r w:rsidRPr="004E175E">
              <w:rPr>
                <w:noProof/>
                <w:lang w:val="es-ES" w:eastAsia="es-ES"/>
              </w:rPr>
              <w:drawing>
                <wp:inline distT="0" distB="0" distL="0" distR="0" wp14:anchorId="208CEA77" wp14:editId="590BAD66">
                  <wp:extent cx="4646428" cy="2190307"/>
                  <wp:effectExtent l="0" t="0" r="1905" b="635"/>
                  <wp:docPr id="5" name="Gráfico 3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2"/>
                    </a:graphicData>
                  </a:graphic>
                </wp:inline>
              </w:drawing>
            </w:r>
          </w:p>
        </w:tc>
      </w:tr>
      <w:tr w:rsidR="00475B0A" w:rsidTr="00487E67">
        <w:tblPrEx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 w:rsidR="00475B0A" w:rsidRDefault="00040A0C" w:rsidP="00040A0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(</w:t>
            </w:r>
            <w:r w:rsidR="00475B0A">
              <w:rPr>
                <w:sz w:val="20"/>
                <w:szCs w:val="20"/>
                <w:lang w:val="en-US"/>
              </w:rPr>
              <w:t>b</w:t>
            </w:r>
            <w:r>
              <w:rPr>
                <w:sz w:val="20"/>
                <w:szCs w:val="20"/>
                <w:lang w:val="en-US"/>
              </w:rPr>
              <w:t>)</w:t>
            </w:r>
          </w:p>
        </w:tc>
      </w:tr>
    </w:tbl>
    <w:p w:rsidR="00475B0A" w:rsidRDefault="00475B0A" w:rsidP="00575A9D">
      <w:pPr>
        <w:spacing w:line="360" w:lineRule="auto"/>
        <w:rPr>
          <w:sz w:val="20"/>
          <w:szCs w:val="20"/>
          <w:lang w:val="en-US"/>
        </w:rPr>
      </w:pPr>
    </w:p>
    <w:p w:rsidR="00040A0C" w:rsidRDefault="00040A0C">
      <w:pPr>
        <w:jc w:val="left"/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br w:type="page"/>
      </w:r>
    </w:p>
    <w:p w:rsidR="00040A0C" w:rsidRDefault="00040A0C" w:rsidP="00040A0C">
      <w:pPr>
        <w:spacing w:line="360" w:lineRule="auto"/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lastRenderedPageBreak/>
        <w:t>Figure 4 (cont.).Distribution of impacts per processes involved in each subsystem. a</w:t>
      </w:r>
      <w:r w:rsidRPr="00B94CFB">
        <w:rPr>
          <w:sz w:val="20"/>
          <w:szCs w:val="20"/>
          <w:lang w:val="en-US"/>
        </w:rPr>
        <w:t>) Soil preparation</w:t>
      </w:r>
      <w:r>
        <w:rPr>
          <w:sz w:val="20"/>
          <w:szCs w:val="20"/>
          <w:lang w:val="en-US"/>
        </w:rPr>
        <w:t xml:space="preserve"> (SS1); b</w:t>
      </w:r>
      <w:r w:rsidRPr="00B94CFB">
        <w:rPr>
          <w:sz w:val="20"/>
          <w:szCs w:val="20"/>
          <w:lang w:val="en-US"/>
        </w:rPr>
        <w:t xml:space="preserve">) </w:t>
      </w:r>
      <w:r>
        <w:rPr>
          <w:sz w:val="20"/>
          <w:szCs w:val="20"/>
          <w:lang w:val="en-US"/>
        </w:rPr>
        <w:t>Seedlings plantation (SS2); c</w:t>
      </w:r>
      <w:r w:rsidRPr="00B94CFB">
        <w:rPr>
          <w:sz w:val="20"/>
          <w:szCs w:val="20"/>
          <w:lang w:val="en-US"/>
        </w:rPr>
        <w:t>) Forest management</w:t>
      </w:r>
      <w:r>
        <w:rPr>
          <w:sz w:val="20"/>
          <w:szCs w:val="20"/>
          <w:lang w:val="en-US"/>
        </w:rPr>
        <w:t xml:space="preserve"> (SS3); d</w:t>
      </w:r>
      <w:r w:rsidRPr="00B94CFB">
        <w:rPr>
          <w:sz w:val="20"/>
          <w:szCs w:val="20"/>
          <w:lang w:val="en-US"/>
        </w:rPr>
        <w:t xml:space="preserve">) </w:t>
      </w:r>
      <w:r>
        <w:rPr>
          <w:sz w:val="20"/>
          <w:szCs w:val="20"/>
          <w:lang w:val="en-US"/>
        </w:rPr>
        <w:t>Forest harvesting (SS4); e</w:t>
      </w:r>
      <w:r w:rsidRPr="00B94CFB">
        <w:rPr>
          <w:sz w:val="20"/>
          <w:szCs w:val="20"/>
          <w:lang w:val="en-US"/>
        </w:rPr>
        <w:t xml:space="preserve">) </w:t>
      </w:r>
      <w:r>
        <w:rPr>
          <w:sz w:val="20"/>
          <w:szCs w:val="20"/>
          <w:lang w:val="en-US"/>
        </w:rPr>
        <w:t>I</w:t>
      </w:r>
      <w:r w:rsidRPr="00B94CFB">
        <w:rPr>
          <w:sz w:val="20"/>
          <w:szCs w:val="20"/>
          <w:lang w:val="en-US"/>
        </w:rPr>
        <w:t>nfrastructure establishment</w:t>
      </w:r>
      <w:r>
        <w:rPr>
          <w:sz w:val="20"/>
          <w:szCs w:val="20"/>
          <w:lang w:val="en-US"/>
        </w:rPr>
        <w:t xml:space="preserve"> (SS5). Acronyms: CC- </w:t>
      </w:r>
      <w:r w:rsidRPr="005D07FD">
        <w:rPr>
          <w:sz w:val="20"/>
          <w:szCs w:val="20"/>
          <w:lang w:val="en-US"/>
        </w:rPr>
        <w:t>Climate Change; OD –Ozone Depletion, TA- Terrestrial Acidification, FE- Freshwater Eutrophication, ME- Marine Eutrophication, HT- Human Toxicity, POF- Photochemical Oxidant</w:t>
      </w:r>
      <w:r>
        <w:rPr>
          <w:sz w:val="20"/>
          <w:szCs w:val="20"/>
          <w:lang w:val="en-US"/>
        </w:rPr>
        <w:t>s</w:t>
      </w:r>
      <w:r w:rsidRPr="005D07FD">
        <w:rPr>
          <w:sz w:val="20"/>
          <w:szCs w:val="20"/>
          <w:lang w:val="en-US"/>
        </w:rPr>
        <w:t xml:space="preserve"> Formation, TET- Terrestrial Ecotoxicity, FET- Freshwater Ecotoxicity, </w:t>
      </w:r>
      <w:r>
        <w:rPr>
          <w:sz w:val="20"/>
          <w:szCs w:val="20"/>
          <w:lang w:val="en-US"/>
        </w:rPr>
        <w:t>MET- M</w:t>
      </w:r>
      <w:r w:rsidRPr="00D02B4F">
        <w:rPr>
          <w:sz w:val="20"/>
          <w:szCs w:val="20"/>
          <w:lang w:val="en-US"/>
        </w:rPr>
        <w:t xml:space="preserve">arine </w:t>
      </w:r>
      <w:r>
        <w:rPr>
          <w:sz w:val="20"/>
          <w:szCs w:val="20"/>
          <w:lang w:val="en-US"/>
        </w:rPr>
        <w:t xml:space="preserve">Ecotoxicity; WD- Water Depletion; </w:t>
      </w:r>
      <w:r w:rsidRPr="005D07FD">
        <w:rPr>
          <w:sz w:val="20"/>
          <w:szCs w:val="20"/>
          <w:lang w:val="en-US"/>
        </w:rPr>
        <w:t>FD- Fossil Depletion</w:t>
      </w:r>
      <w:r>
        <w:rPr>
          <w:sz w:val="20"/>
          <w:szCs w:val="20"/>
          <w:lang w:val="en-US"/>
        </w:rPr>
        <w:t>.</w:t>
      </w:r>
    </w:p>
    <w:tbl>
      <w:tblPr>
        <w:tblStyle w:val="Tablaconcuadrcu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46"/>
      </w:tblGrid>
      <w:tr w:rsidR="00040A0C" w:rsidTr="00BF1318">
        <w:trPr>
          <w:jc w:val="center"/>
        </w:trPr>
        <w:tc>
          <w:tcPr>
            <w:tcW w:w="0" w:type="auto"/>
            <w:vAlign w:val="center"/>
          </w:tcPr>
          <w:p w:rsidR="00040A0C" w:rsidRDefault="00040A0C" w:rsidP="00BF1318">
            <w:pPr>
              <w:jc w:val="center"/>
              <w:rPr>
                <w:sz w:val="20"/>
                <w:szCs w:val="20"/>
                <w:lang w:val="en-US"/>
              </w:rPr>
            </w:pPr>
            <w:r w:rsidRPr="004E175E">
              <w:rPr>
                <w:noProof/>
                <w:lang w:val="es-ES" w:eastAsia="es-ES"/>
              </w:rPr>
              <w:drawing>
                <wp:inline distT="0" distB="0" distL="0" distR="0" wp14:anchorId="48092DA6" wp14:editId="23292521">
                  <wp:extent cx="4935600" cy="2337758"/>
                  <wp:effectExtent l="0" t="0" r="0" b="5715"/>
                  <wp:docPr id="16" name="Gráfico 4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3"/>
                    </a:graphicData>
                  </a:graphic>
                </wp:inline>
              </w:drawing>
            </w:r>
          </w:p>
        </w:tc>
      </w:tr>
      <w:tr w:rsidR="00040A0C" w:rsidTr="00BF1318">
        <w:trPr>
          <w:jc w:val="center"/>
        </w:trPr>
        <w:tc>
          <w:tcPr>
            <w:tcW w:w="0" w:type="auto"/>
            <w:vAlign w:val="center"/>
          </w:tcPr>
          <w:p w:rsidR="00040A0C" w:rsidRDefault="00040A0C" w:rsidP="00BF1318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(c)</w:t>
            </w:r>
          </w:p>
        </w:tc>
      </w:tr>
      <w:tr w:rsidR="00040A0C" w:rsidTr="00BF1318">
        <w:trPr>
          <w:jc w:val="center"/>
        </w:trPr>
        <w:tc>
          <w:tcPr>
            <w:tcW w:w="0" w:type="auto"/>
            <w:vAlign w:val="center"/>
          </w:tcPr>
          <w:p w:rsidR="00040A0C" w:rsidRDefault="00040A0C" w:rsidP="00BF1318">
            <w:pPr>
              <w:jc w:val="center"/>
              <w:rPr>
                <w:sz w:val="20"/>
                <w:szCs w:val="20"/>
                <w:lang w:val="en-US"/>
              </w:rPr>
            </w:pPr>
            <w:r w:rsidRPr="004E175E">
              <w:rPr>
                <w:noProof/>
                <w:lang w:val="es-ES" w:eastAsia="es-ES"/>
              </w:rPr>
              <w:drawing>
                <wp:inline distT="0" distB="0" distL="0" distR="0" wp14:anchorId="4ABCFDB2" wp14:editId="4F5D6C22">
                  <wp:extent cx="5158596" cy="2337759"/>
                  <wp:effectExtent l="0" t="0" r="4445" b="5715"/>
                  <wp:docPr id="17" name="Gráfico 5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4"/>
                    </a:graphicData>
                  </a:graphic>
                </wp:inline>
              </w:drawing>
            </w:r>
          </w:p>
        </w:tc>
      </w:tr>
      <w:tr w:rsidR="00040A0C" w:rsidTr="00BF1318">
        <w:trPr>
          <w:jc w:val="center"/>
        </w:trPr>
        <w:tc>
          <w:tcPr>
            <w:tcW w:w="0" w:type="auto"/>
            <w:vAlign w:val="center"/>
          </w:tcPr>
          <w:p w:rsidR="00040A0C" w:rsidRDefault="00040A0C" w:rsidP="00BF1318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(d)</w:t>
            </w:r>
          </w:p>
        </w:tc>
      </w:tr>
    </w:tbl>
    <w:p w:rsidR="00040A0C" w:rsidRDefault="00040A0C" w:rsidP="00040A0C">
      <w:pPr>
        <w:spacing w:line="360" w:lineRule="auto"/>
        <w:rPr>
          <w:sz w:val="20"/>
          <w:szCs w:val="20"/>
          <w:lang w:val="en-US"/>
        </w:rPr>
      </w:pPr>
    </w:p>
    <w:p w:rsidR="00040A0C" w:rsidRDefault="00040A0C">
      <w:pPr>
        <w:jc w:val="left"/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br w:type="page"/>
      </w:r>
    </w:p>
    <w:p w:rsidR="00040A0C" w:rsidRDefault="00040A0C" w:rsidP="00040A0C">
      <w:pPr>
        <w:spacing w:line="360" w:lineRule="auto"/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lastRenderedPageBreak/>
        <w:t>Figure 4 (cont.).</w:t>
      </w:r>
      <w:r w:rsidR="007449B9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>Distribution of impacts per processes involved in each subsystem. a</w:t>
      </w:r>
      <w:r w:rsidRPr="00B94CFB">
        <w:rPr>
          <w:sz w:val="20"/>
          <w:szCs w:val="20"/>
          <w:lang w:val="en-US"/>
        </w:rPr>
        <w:t>) Soil preparation</w:t>
      </w:r>
      <w:r>
        <w:rPr>
          <w:sz w:val="20"/>
          <w:szCs w:val="20"/>
          <w:lang w:val="en-US"/>
        </w:rPr>
        <w:t xml:space="preserve"> (SS1); b</w:t>
      </w:r>
      <w:r w:rsidRPr="00B94CFB">
        <w:rPr>
          <w:sz w:val="20"/>
          <w:szCs w:val="20"/>
          <w:lang w:val="en-US"/>
        </w:rPr>
        <w:t xml:space="preserve">) </w:t>
      </w:r>
      <w:r>
        <w:rPr>
          <w:sz w:val="20"/>
          <w:szCs w:val="20"/>
          <w:lang w:val="en-US"/>
        </w:rPr>
        <w:t>Seedlings plantation (SS2); c</w:t>
      </w:r>
      <w:r w:rsidRPr="00B94CFB">
        <w:rPr>
          <w:sz w:val="20"/>
          <w:szCs w:val="20"/>
          <w:lang w:val="en-US"/>
        </w:rPr>
        <w:t>) Forest management</w:t>
      </w:r>
      <w:r>
        <w:rPr>
          <w:sz w:val="20"/>
          <w:szCs w:val="20"/>
          <w:lang w:val="en-US"/>
        </w:rPr>
        <w:t xml:space="preserve"> (SS3); d</w:t>
      </w:r>
      <w:r w:rsidRPr="00B94CFB">
        <w:rPr>
          <w:sz w:val="20"/>
          <w:szCs w:val="20"/>
          <w:lang w:val="en-US"/>
        </w:rPr>
        <w:t xml:space="preserve">) </w:t>
      </w:r>
      <w:r>
        <w:rPr>
          <w:sz w:val="20"/>
          <w:szCs w:val="20"/>
          <w:lang w:val="en-US"/>
        </w:rPr>
        <w:t>Forest harvesting (SS4); e</w:t>
      </w:r>
      <w:r w:rsidRPr="00B94CFB">
        <w:rPr>
          <w:sz w:val="20"/>
          <w:szCs w:val="20"/>
          <w:lang w:val="en-US"/>
        </w:rPr>
        <w:t xml:space="preserve">) </w:t>
      </w:r>
      <w:r>
        <w:rPr>
          <w:sz w:val="20"/>
          <w:szCs w:val="20"/>
          <w:lang w:val="en-US"/>
        </w:rPr>
        <w:t>I</w:t>
      </w:r>
      <w:r w:rsidRPr="00B94CFB">
        <w:rPr>
          <w:sz w:val="20"/>
          <w:szCs w:val="20"/>
          <w:lang w:val="en-US"/>
        </w:rPr>
        <w:t>nfrastructure establishment</w:t>
      </w:r>
      <w:r>
        <w:rPr>
          <w:sz w:val="20"/>
          <w:szCs w:val="20"/>
          <w:lang w:val="en-US"/>
        </w:rPr>
        <w:t xml:space="preserve"> (SS5). Acronyms: CC- </w:t>
      </w:r>
      <w:r w:rsidRPr="005D07FD">
        <w:rPr>
          <w:sz w:val="20"/>
          <w:szCs w:val="20"/>
          <w:lang w:val="en-US"/>
        </w:rPr>
        <w:t>Climate Change; OD –Ozone Depletion, TA- Terrestrial Acidification, FE- Freshwater Eutrophication, ME- Marine Eutrophication, HT- Human Toxicity, POF- Photochemical Oxidant</w:t>
      </w:r>
      <w:r>
        <w:rPr>
          <w:sz w:val="20"/>
          <w:szCs w:val="20"/>
          <w:lang w:val="en-US"/>
        </w:rPr>
        <w:t>s</w:t>
      </w:r>
      <w:r w:rsidRPr="005D07FD">
        <w:rPr>
          <w:sz w:val="20"/>
          <w:szCs w:val="20"/>
          <w:lang w:val="en-US"/>
        </w:rPr>
        <w:t xml:space="preserve"> Formation, TET- Terrestrial Ecotoxicity, FET- Freshwater Ecotoxicity, </w:t>
      </w:r>
      <w:r>
        <w:rPr>
          <w:sz w:val="20"/>
          <w:szCs w:val="20"/>
          <w:lang w:val="en-US"/>
        </w:rPr>
        <w:t>MET- M</w:t>
      </w:r>
      <w:r w:rsidRPr="00D02B4F">
        <w:rPr>
          <w:sz w:val="20"/>
          <w:szCs w:val="20"/>
          <w:lang w:val="en-US"/>
        </w:rPr>
        <w:t xml:space="preserve">arine </w:t>
      </w:r>
      <w:r>
        <w:rPr>
          <w:sz w:val="20"/>
          <w:szCs w:val="20"/>
          <w:lang w:val="en-US"/>
        </w:rPr>
        <w:t xml:space="preserve">Ecotoxicity; WD- Water Depletion; </w:t>
      </w:r>
      <w:r w:rsidRPr="005D07FD">
        <w:rPr>
          <w:sz w:val="20"/>
          <w:szCs w:val="20"/>
          <w:lang w:val="en-US"/>
        </w:rPr>
        <w:t>FD- Fossil Depletion</w:t>
      </w:r>
      <w:r>
        <w:rPr>
          <w:sz w:val="20"/>
          <w:szCs w:val="20"/>
          <w:lang w:val="en-US"/>
        </w:rPr>
        <w:t>.</w:t>
      </w:r>
    </w:p>
    <w:tbl>
      <w:tblPr>
        <w:tblStyle w:val="Tablaconcuadrcu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988"/>
      </w:tblGrid>
      <w:tr w:rsidR="00040A0C" w:rsidTr="00BF1318">
        <w:trPr>
          <w:jc w:val="center"/>
        </w:trPr>
        <w:tc>
          <w:tcPr>
            <w:tcW w:w="0" w:type="auto"/>
            <w:vAlign w:val="center"/>
          </w:tcPr>
          <w:p w:rsidR="00040A0C" w:rsidRDefault="00040A0C" w:rsidP="00BF1318">
            <w:pPr>
              <w:jc w:val="center"/>
              <w:rPr>
                <w:sz w:val="20"/>
                <w:szCs w:val="20"/>
                <w:lang w:val="en-US"/>
              </w:rPr>
            </w:pPr>
            <w:r w:rsidRPr="004E175E">
              <w:rPr>
                <w:noProof/>
                <w:lang w:val="es-ES" w:eastAsia="es-ES"/>
              </w:rPr>
              <w:drawing>
                <wp:inline distT="0" distB="0" distL="0" distR="0" wp14:anchorId="0700848D" wp14:editId="39E9D85C">
                  <wp:extent cx="4935600" cy="2343845"/>
                  <wp:effectExtent l="0" t="0" r="0" b="0"/>
                  <wp:docPr id="19" name="Gráfico 6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5"/>
                    </a:graphicData>
                  </a:graphic>
                </wp:inline>
              </w:drawing>
            </w:r>
          </w:p>
        </w:tc>
      </w:tr>
      <w:tr w:rsidR="00040A0C" w:rsidTr="00BF1318">
        <w:trPr>
          <w:jc w:val="center"/>
        </w:trPr>
        <w:tc>
          <w:tcPr>
            <w:tcW w:w="0" w:type="auto"/>
            <w:vAlign w:val="center"/>
          </w:tcPr>
          <w:p w:rsidR="00040A0C" w:rsidRDefault="00040A0C" w:rsidP="00BF1318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(e)</w:t>
            </w:r>
          </w:p>
        </w:tc>
      </w:tr>
    </w:tbl>
    <w:p w:rsidR="00475B0A" w:rsidRDefault="00475B0A" w:rsidP="00575A9D">
      <w:pPr>
        <w:spacing w:line="360" w:lineRule="auto"/>
        <w:rPr>
          <w:sz w:val="20"/>
          <w:szCs w:val="20"/>
          <w:lang w:val="en-US"/>
        </w:rPr>
      </w:pPr>
    </w:p>
    <w:sectPr w:rsidR="00475B0A" w:rsidSect="001B3A57">
      <w:footerReference w:type="default" r:id="rId16"/>
      <w:pgSz w:w="11906" w:h="16838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764F" w:rsidRDefault="0094764F" w:rsidP="00A940C4">
      <w:pPr>
        <w:spacing w:after="0" w:line="240" w:lineRule="auto"/>
      </w:pPr>
      <w:r>
        <w:separator/>
      </w:r>
    </w:p>
  </w:endnote>
  <w:endnote w:type="continuationSeparator" w:id="0">
    <w:p w:rsidR="0094764F" w:rsidRDefault="0094764F" w:rsidP="00A94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40C4" w:rsidRDefault="00A940C4">
    <w:pPr>
      <w:pStyle w:val="Piedepgina"/>
    </w:pPr>
  </w:p>
  <w:p w:rsidR="00A940C4" w:rsidRDefault="00A940C4">
    <w:pPr>
      <w:pStyle w:val="Piedepgina"/>
    </w:pPr>
  </w:p>
  <w:p w:rsidR="00A940C4" w:rsidRDefault="00A940C4">
    <w:pPr>
      <w:pStyle w:val="Piedepgina"/>
    </w:pPr>
  </w:p>
  <w:p w:rsidR="00A940C4" w:rsidRDefault="00A940C4">
    <w:pPr>
      <w:pStyle w:val="Piedepgina"/>
    </w:pPr>
  </w:p>
  <w:p w:rsidR="00A940C4" w:rsidRDefault="00A940C4">
    <w:pPr>
      <w:pStyle w:val="Piedepgina"/>
    </w:pPr>
  </w:p>
  <w:p w:rsidR="00A940C4" w:rsidRDefault="00A940C4">
    <w:pPr>
      <w:pStyle w:val="Piedepgina"/>
    </w:pPr>
  </w:p>
  <w:p w:rsidR="00A940C4" w:rsidRDefault="00A940C4">
    <w:pPr>
      <w:pStyle w:val="Piedepgina"/>
    </w:pPr>
  </w:p>
  <w:p w:rsidR="00A940C4" w:rsidRDefault="00A940C4">
    <w:pPr>
      <w:pStyle w:val="Piedepgina"/>
    </w:pPr>
  </w:p>
  <w:p w:rsidR="00A940C4" w:rsidRDefault="00A940C4">
    <w:pPr>
      <w:pStyle w:val="Piedepgina"/>
    </w:pPr>
  </w:p>
  <w:p w:rsidR="00A940C4" w:rsidRDefault="00A940C4">
    <w:pPr>
      <w:pStyle w:val="Piedepgina"/>
    </w:pPr>
  </w:p>
  <w:p w:rsidR="00A940C4" w:rsidRDefault="00A940C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764F" w:rsidRDefault="0094764F" w:rsidP="00A940C4">
      <w:pPr>
        <w:spacing w:after="0" w:line="240" w:lineRule="auto"/>
      </w:pPr>
      <w:r>
        <w:separator/>
      </w:r>
    </w:p>
  </w:footnote>
  <w:footnote w:type="continuationSeparator" w:id="0">
    <w:p w:rsidR="0094764F" w:rsidRDefault="0094764F" w:rsidP="00A940C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F83023"/>
    <w:multiLevelType w:val="hybridMultilevel"/>
    <w:tmpl w:val="10D4D9B8"/>
    <w:lvl w:ilvl="0" w:tplc="04160017">
      <w:start w:val="1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" w15:restartNumberingAfterBreak="0">
    <w:nsid w:val="4D9C0F5E"/>
    <w:multiLevelType w:val="hybridMultilevel"/>
    <w:tmpl w:val="78667486"/>
    <w:lvl w:ilvl="0" w:tplc="C86A450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2412"/>
    <w:rsid w:val="000211D2"/>
    <w:rsid w:val="00040A0C"/>
    <w:rsid w:val="000644DB"/>
    <w:rsid w:val="000A65BE"/>
    <w:rsid w:val="000B0078"/>
    <w:rsid w:val="000B3D11"/>
    <w:rsid w:val="000B763A"/>
    <w:rsid w:val="000C6AA9"/>
    <w:rsid w:val="000C7AFF"/>
    <w:rsid w:val="000D3BEC"/>
    <w:rsid w:val="000D7F5F"/>
    <w:rsid w:val="001140DC"/>
    <w:rsid w:val="0012771C"/>
    <w:rsid w:val="0016097C"/>
    <w:rsid w:val="00173E2A"/>
    <w:rsid w:val="00182A94"/>
    <w:rsid w:val="001A4DA3"/>
    <w:rsid w:val="001B3A57"/>
    <w:rsid w:val="001D6981"/>
    <w:rsid w:val="001E1A43"/>
    <w:rsid w:val="001E72B4"/>
    <w:rsid w:val="00201B4C"/>
    <w:rsid w:val="0020322B"/>
    <w:rsid w:val="0022350A"/>
    <w:rsid w:val="00280888"/>
    <w:rsid w:val="00285FC1"/>
    <w:rsid w:val="002A5EEB"/>
    <w:rsid w:val="002B358F"/>
    <w:rsid w:val="002C504F"/>
    <w:rsid w:val="002D2C5B"/>
    <w:rsid w:val="002D5CE3"/>
    <w:rsid w:val="002E7294"/>
    <w:rsid w:val="00320532"/>
    <w:rsid w:val="00322D56"/>
    <w:rsid w:val="003255AC"/>
    <w:rsid w:val="003336DA"/>
    <w:rsid w:val="0033489E"/>
    <w:rsid w:val="00364B52"/>
    <w:rsid w:val="003657A4"/>
    <w:rsid w:val="003838EF"/>
    <w:rsid w:val="003977C3"/>
    <w:rsid w:val="0042113C"/>
    <w:rsid w:val="00425EDD"/>
    <w:rsid w:val="00475B0A"/>
    <w:rsid w:val="00487E67"/>
    <w:rsid w:val="00495210"/>
    <w:rsid w:val="004B06C2"/>
    <w:rsid w:val="004D33A2"/>
    <w:rsid w:val="004D7781"/>
    <w:rsid w:val="004E175E"/>
    <w:rsid w:val="004E6500"/>
    <w:rsid w:val="005124A3"/>
    <w:rsid w:val="005303E9"/>
    <w:rsid w:val="00553445"/>
    <w:rsid w:val="00575A9D"/>
    <w:rsid w:val="00590D72"/>
    <w:rsid w:val="005966CE"/>
    <w:rsid w:val="005B3461"/>
    <w:rsid w:val="005D4A7C"/>
    <w:rsid w:val="005E2C28"/>
    <w:rsid w:val="005F76F8"/>
    <w:rsid w:val="00675050"/>
    <w:rsid w:val="006765ED"/>
    <w:rsid w:val="006868FD"/>
    <w:rsid w:val="006A2A6C"/>
    <w:rsid w:val="006B383D"/>
    <w:rsid w:val="00732CF5"/>
    <w:rsid w:val="0073408E"/>
    <w:rsid w:val="00743630"/>
    <w:rsid w:val="007449B9"/>
    <w:rsid w:val="007A4486"/>
    <w:rsid w:val="007B1B50"/>
    <w:rsid w:val="007E5949"/>
    <w:rsid w:val="00812CE5"/>
    <w:rsid w:val="0082249E"/>
    <w:rsid w:val="00857872"/>
    <w:rsid w:val="008818AE"/>
    <w:rsid w:val="00882AB7"/>
    <w:rsid w:val="008A51E9"/>
    <w:rsid w:val="008D5B72"/>
    <w:rsid w:val="008F50CE"/>
    <w:rsid w:val="008F60BD"/>
    <w:rsid w:val="00903F77"/>
    <w:rsid w:val="00934659"/>
    <w:rsid w:val="0094764F"/>
    <w:rsid w:val="00991709"/>
    <w:rsid w:val="009E68D1"/>
    <w:rsid w:val="00A20008"/>
    <w:rsid w:val="00A22CE2"/>
    <w:rsid w:val="00A622B4"/>
    <w:rsid w:val="00A65CA1"/>
    <w:rsid w:val="00A724AD"/>
    <w:rsid w:val="00A86583"/>
    <w:rsid w:val="00A940C4"/>
    <w:rsid w:val="00AE019D"/>
    <w:rsid w:val="00AE4ADB"/>
    <w:rsid w:val="00AE5CDD"/>
    <w:rsid w:val="00AF2B18"/>
    <w:rsid w:val="00B0390D"/>
    <w:rsid w:val="00B047B1"/>
    <w:rsid w:val="00B206D9"/>
    <w:rsid w:val="00B54991"/>
    <w:rsid w:val="00B606B8"/>
    <w:rsid w:val="00B94CFB"/>
    <w:rsid w:val="00B9657C"/>
    <w:rsid w:val="00B96F59"/>
    <w:rsid w:val="00BE2412"/>
    <w:rsid w:val="00BF29CF"/>
    <w:rsid w:val="00C06F9B"/>
    <w:rsid w:val="00C211FF"/>
    <w:rsid w:val="00C50749"/>
    <w:rsid w:val="00C64C0A"/>
    <w:rsid w:val="00C95D9B"/>
    <w:rsid w:val="00CE1F0D"/>
    <w:rsid w:val="00CF112F"/>
    <w:rsid w:val="00CF2E66"/>
    <w:rsid w:val="00D16CE1"/>
    <w:rsid w:val="00D1772E"/>
    <w:rsid w:val="00D207E6"/>
    <w:rsid w:val="00D54777"/>
    <w:rsid w:val="00D60BA1"/>
    <w:rsid w:val="00D61B98"/>
    <w:rsid w:val="00D67C91"/>
    <w:rsid w:val="00D71D6F"/>
    <w:rsid w:val="00D7613E"/>
    <w:rsid w:val="00D9730C"/>
    <w:rsid w:val="00E019A1"/>
    <w:rsid w:val="00E21B50"/>
    <w:rsid w:val="00E601F7"/>
    <w:rsid w:val="00E939D6"/>
    <w:rsid w:val="00EC017F"/>
    <w:rsid w:val="00ED30A0"/>
    <w:rsid w:val="00ED749C"/>
    <w:rsid w:val="00EE6866"/>
    <w:rsid w:val="00EF6F68"/>
    <w:rsid w:val="00F03E78"/>
    <w:rsid w:val="00F11CCF"/>
    <w:rsid w:val="00F90E7A"/>
    <w:rsid w:val="00F9203F"/>
    <w:rsid w:val="00F9245E"/>
    <w:rsid w:val="00FC6EC5"/>
    <w:rsid w:val="00FD6F82"/>
    <w:rsid w:val="00FE170F"/>
    <w:rsid w:val="00FF0DA7"/>
    <w:rsid w:val="00FF5C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B5A0BAA-0504-43C1-B495-980DDD6922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E1A43"/>
    <w:pPr>
      <w:jc w:val="both"/>
    </w:pPr>
    <w:rPr>
      <w:rFonts w:ascii="Times New Roman" w:hAnsi="Times New Roman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1E1A43"/>
    <w:pPr>
      <w:spacing w:before="100" w:beforeAutospacing="1" w:after="100" w:afterAutospacing="1" w:line="240" w:lineRule="auto"/>
    </w:pPr>
    <w:rPr>
      <w:rFonts w:eastAsiaTheme="minorEastAsia" w:cs="Times New Roman"/>
      <w:szCs w:val="24"/>
      <w:lang w:eastAsia="pt-BR"/>
    </w:rPr>
  </w:style>
  <w:style w:type="table" w:styleId="Tablaconcuadrcula">
    <w:name w:val="Table Grid"/>
    <w:basedOn w:val="Tablanormal"/>
    <w:uiPriority w:val="59"/>
    <w:rsid w:val="00EC01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thor">
    <w:name w:val="Author"/>
    <w:basedOn w:val="Normal"/>
    <w:rsid w:val="001B3A57"/>
    <w:pPr>
      <w:widowControl w:val="0"/>
      <w:autoSpaceDE w:val="0"/>
      <w:autoSpaceDN w:val="0"/>
      <w:adjustRightInd w:val="0"/>
      <w:spacing w:before="240" w:after="240" w:line="240" w:lineRule="auto"/>
      <w:ind w:left="1134" w:right="1134"/>
      <w:jc w:val="center"/>
    </w:pPr>
    <w:rPr>
      <w:rFonts w:ascii="Helvetica" w:eastAsia="Times New Roman" w:hAnsi="Helvetica" w:cs="Helvetica"/>
      <w:sz w:val="22"/>
      <w:lang w:eastAsia="pt-PT"/>
    </w:rPr>
  </w:style>
  <w:style w:type="paragraph" w:styleId="Prrafodelista">
    <w:name w:val="List Paragraph"/>
    <w:basedOn w:val="Normal"/>
    <w:uiPriority w:val="34"/>
    <w:qFormat/>
    <w:rsid w:val="00FC6EC5"/>
    <w:pPr>
      <w:ind w:left="720"/>
      <w:contextualSpacing/>
    </w:pPr>
  </w:style>
  <w:style w:type="paragraph" w:customStyle="1" w:styleId="Keywords">
    <w:name w:val="Keywords"/>
    <w:basedOn w:val="Normal"/>
    <w:rsid w:val="00FC6EC5"/>
    <w:pPr>
      <w:widowControl w:val="0"/>
      <w:pBdr>
        <w:bottom w:val="single" w:sz="4" w:space="6" w:color="auto"/>
      </w:pBdr>
      <w:autoSpaceDE w:val="0"/>
      <w:autoSpaceDN w:val="0"/>
      <w:adjustRightInd w:val="0"/>
      <w:spacing w:before="240" w:after="240" w:line="240" w:lineRule="auto"/>
    </w:pPr>
    <w:rPr>
      <w:rFonts w:eastAsia="Times New Roman" w:cs="Times New Roman"/>
      <w:sz w:val="20"/>
      <w:szCs w:val="20"/>
      <w:lang w:eastAsia="pt-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E4A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E4ADB"/>
    <w:rPr>
      <w:rFonts w:ascii="Tahoma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F9245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F9245E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F9245E"/>
    <w:rPr>
      <w:rFonts w:ascii="Times New Roman" w:hAnsi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9245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9245E"/>
    <w:rPr>
      <w:rFonts w:ascii="Times New Roman" w:hAnsi="Times New Roman"/>
      <w:b/>
      <w:bCs/>
      <w:sz w:val="20"/>
      <w:szCs w:val="20"/>
    </w:rPr>
  </w:style>
  <w:style w:type="paragraph" w:styleId="Encabezado">
    <w:name w:val="header"/>
    <w:basedOn w:val="Normal"/>
    <w:link w:val="EncabezadoCar"/>
    <w:uiPriority w:val="99"/>
    <w:semiHidden/>
    <w:unhideWhenUsed/>
    <w:rsid w:val="00A940C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A940C4"/>
    <w:rPr>
      <w:rFonts w:ascii="Times New Roman" w:hAnsi="Times New Roman"/>
      <w:sz w:val="24"/>
    </w:rPr>
  </w:style>
  <w:style w:type="paragraph" w:styleId="Piedepgina">
    <w:name w:val="footer"/>
    <w:basedOn w:val="Normal"/>
    <w:link w:val="PiedepginaCar"/>
    <w:uiPriority w:val="99"/>
    <w:semiHidden/>
    <w:unhideWhenUsed/>
    <w:rsid w:val="00A940C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A940C4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413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19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02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5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6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8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90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chart" Target="charts/chart4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3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2.xml"/><Relationship Id="rId5" Type="http://schemas.openxmlformats.org/officeDocument/2006/relationships/webSettings" Target="webSettings.xml"/><Relationship Id="rId15" Type="http://schemas.openxmlformats.org/officeDocument/2006/relationships/chart" Target="charts/chart6.xml"/><Relationship Id="rId10" Type="http://schemas.openxmlformats.org/officeDocument/2006/relationships/chart" Target="charts/chart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chart" Target="charts/chart5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Fabiane\Dropbox\USC\Artigos\Artigo%20final\Planilhas%20finais\An&#225;lise%20florestal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Bia%20Ferro\Dropbox\USC\Artigos\Artigo%20final\Planilhas%20finais\An&#225;lise%20florestal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Fabiane\Dropbox\USC\Artigos\Artigo%20final\Planilhas%20finais\An&#225;lise%20florestal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Fabiane\Dropbox\USC\Artigos\Artigo%20final\Planilhas%20finais\An&#225;lise%20florestal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Fabiane\Dropbox\USC\Artigos\Artigo%20final\Planilhas%20finais\An&#225;lise%20florestal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Fabiane\Dropbox\USC\Artigos\Artigo%20final\Planilhas%20finais\An&#225;lise%20florestal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2724061151123894"/>
          <c:y val="4.418913307478356E-2"/>
          <c:w val="0.85189635655732665"/>
          <c:h val="0.72851803972264528"/>
        </c:manualLayout>
      </c:layout>
      <c:barChart>
        <c:barDir val="col"/>
        <c:grouping val="percentStacked"/>
        <c:varyColors val="0"/>
        <c:ser>
          <c:idx val="0"/>
          <c:order val="0"/>
          <c:tx>
            <c:strRef>
              <c:f>Resumo!$D$8</c:f>
              <c:strCache>
                <c:ptCount val="1"/>
                <c:pt idx="0">
                  <c:v>SSI</c:v>
                </c:pt>
              </c:strCache>
            </c:strRef>
          </c:tx>
          <c:spPr>
            <a:pattFill prst="wdDnDiag">
              <a:fgClr>
                <a:schemeClr val="tx1">
                  <a:lumMod val="50000"/>
                  <a:lumOff val="50000"/>
                </a:schemeClr>
              </a:fgClr>
              <a:bgClr>
                <a:schemeClr val="bg1"/>
              </a:bgClr>
            </a:pattFill>
            <a:ln>
              <a:solidFill>
                <a:sysClr val="windowText" lastClr="000000"/>
              </a:solidFill>
            </a:ln>
          </c:spPr>
          <c:invertIfNegative val="0"/>
          <c:cat>
            <c:strRef>
              <c:f>Resumo!$C$9:$C$20</c:f>
              <c:strCache>
                <c:ptCount val="12"/>
                <c:pt idx="0">
                  <c:v>CC</c:v>
                </c:pt>
                <c:pt idx="1">
                  <c:v>OD</c:v>
                </c:pt>
                <c:pt idx="2">
                  <c:v>TA</c:v>
                </c:pt>
                <c:pt idx="3">
                  <c:v>FE</c:v>
                </c:pt>
                <c:pt idx="4">
                  <c:v>ME</c:v>
                </c:pt>
                <c:pt idx="5">
                  <c:v>HT</c:v>
                </c:pt>
                <c:pt idx="6">
                  <c:v>POF</c:v>
                </c:pt>
                <c:pt idx="7">
                  <c:v>TET</c:v>
                </c:pt>
                <c:pt idx="8">
                  <c:v>FET</c:v>
                </c:pt>
                <c:pt idx="9">
                  <c:v>MET</c:v>
                </c:pt>
                <c:pt idx="10">
                  <c:v>WD</c:v>
                </c:pt>
                <c:pt idx="11">
                  <c:v>FD</c:v>
                </c:pt>
              </c:strCache>
            </c:strRef>
          </c:cat>
          <c:val>
            <c:numRef>
              <c:f>Resumo!$D$9:$D$20</c:f>
              <c:numCache>
                <c:formatCode>0.00E+00</c:formatCode>
                <c:ptCount val="12"/>
                <c:pt idx="0">
                  <c:v>1.152274874254664</c:v>
                </c:pt>
                <c:pt idx="1">
                  <c:v>1.6121480613425733E-7</c:v>
                </c:pt>
                <c:pt idx="2">
                  <c:v>9.0109675423871646E-3</c:v>
                </c:pt>
                <c:pt idx="3">
                  <c:v>7.1683989805144813E-4</c:v>
                </c:pt>
                <c:pt idx="4">
                  <c:v>3.4210884290320111E-4</c:v>
                </c:pt>
                <c:pt idx="5">
                  <c:v>0.70804128523932741</c:v>
                </c:pt>
                <c:pt idx="6">
                  <c:v>7.7831316012102712E-3</c:v>
                </c:pt>
                <c:pt idx="7">
                  <c:v>2.2277195977227012E-4</c:v>
                </c:pt>
                <c:pt idx="8">
                  <c:v>2.1924680780344954E-2</c:v>
                </c:pt>
                <c:pt idx="9">
                  <c:v>2.11933532773378E-2</c:v>
                </c:pt>
                <c:pt idx="10">
                  <c:v>9.6507008926600797</c:v>
                </c:pt>
                <c:pt idx="11">
                  <c:v>0.42329085186234688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9FD-4421-873C-E8147B74AA1D}"/>
            </c:ext>
          </c:extLst>
        </c:ser>
        <c:ser>
          <c:idx val="1"/>
          <c:order val="1"/>
          <c:tx>
            <c:strRef>
              <c:f>Resumo!$E$8</c:f>
              <c:strCache>
                <c:ptCount val="1"/>
                <c:pt idx="0">
                  <c:v>SS2</c:v>
                </c:pt>
              </c:strCache>
            </c:strRef>
          </c:tx>
          <c:spPr>
            <a:ln>
              <a:solidFill>
                <a:sysClr val="windowText" lastClr="000000"/>
              </a:solidFill>
            </a:ln>
          </c:spPr>
          <c:invertIfNegative val="0"/>
          <c:cat>
            <c:strRef>
              <c:f>Resumo!$C$9:$C$20</c:f>
              <c:strCache>
                <c:ptCount val="12"/>
                <c:pt idx="0">
                  <c:v>CC</c:v>
                </c:pt>
                <c:pt idx="1">
                  <c:v>OD</c:v>
                </c:pt>
                <c:pt idx="2">
                  <c:v>TA</c:v>
                </c:pt>
                <c:pt idx="3">
                  <c:v>FE</c:v>
                </c:pt>
                <c:pt idx="4">
                  <c:v>ME</c:v>
                </c:pt>
                <c:pt idx="5">
                  <c:v>HT</c:v>
                </c:pt>
                <c:pt idx="6">
                  <c:v>POF</c:v>
                </c:pt>
                <c:pt idx="7">
                  <c:v>TET</c:v>
                </c:pt>
                <c:pt idx="8">
                  <c:v>FET</c:v>
                </c:pt>
                <c:pt idx="9">
                  <c:v>MET</c:v>
                </c:pt>
                <c:pt idx="10">
                  <c:v>WD</c:v>
                </c:pt>
                <c:pt idx="11">
                  <c:v>FD</c:v>
                </c:pt>
              </c:strCache>
            </c:strRef>
          </c:cat>
          <c:val>
            <c:numRef>
              <c:f>Resumo!$E$9:$E$20</c:f>
              <c:numCache>
                <c:formatCode>0.00E+00</c:formatCode>
                <c:ptCount val="12"/>
                <c:pt idx="0">
                  <c:v>0.3430031796737843</c:v>
                </c:pt>
                <c:pt idx="1">
                  <c:v>4.5646472846071494E-8</c:v>
                </c:pt>
                <c:pt idx="2">
                  <c:v>2.181040394359375E-3</c:v>
                </c:pt>
                <c:pt idx="3">
                  <c:v>7.5311225429653092E-5</c:v>
                </c:pt>
                <c:pt idx="4">
                  <c:v>1.264650702482251E-4</c:v>
                </c:pt>
                <c:pt idx="5">
                  <c:v>0.11405855796953575</c:v>
                </c:pt>
                <c:pt idx="6">
                  <c:v>3.6732187016023919E-3</c:v>
                </c:pt>
                <c:pt idx="7">
                  <c:v>4.9540786110440933E-5</c:v>
                </c:pt>
                <c:pt idx="8">
                  <c:v>2.5126725328411749E-3</c:v>
                </c:pt>
                <c:pt idx="9">
                  <c:v>2.6230540687658607E-3</c:v>
                </c:pt>
                <c:pt idx="10">
                  <c:v>1.4672891809205402</c:v>
                </c:pt>
                <c:pt idx="11">
                  <c:v>0.11500788809890219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69FD-4421-873C-E8147B74AA1D}"/>
            </c:ext>
          </c:extLst>
        </c:ser>
        <c:ser>
          <c:idx val="2"/>
          <c:order val="2"/>
          <c:tx>
            <c:strRef>
              <c:f>Resumo!$F$8</c:f>
              <c:strCache>
                <c:ptCount val="1"/>
                <c:pt idx="0">
                  <c:v>SS3</c:v>
                </c:pt>
              </c:strCache>
            </c:strRef>
          </c:tx>
          <c:spPr>
            <a:ln>
              <a:solidFill>
                <a:sysClr val="windowText" lastClr="000000"/>
              </a:solidFill>
            </a:ln>
          </c:spPr>
          <c:invertIfNegative val="0"/>
          <c:cat>
            <c:strRef>
              <c:f>Resumo!$C$9:$C$20</c:f>
              <c:strCache>
                <c:ptCount val="12"/>
                <c:pt idx="0">
                  <c:v>CC</c:v>
                </c:pt>
                <c:pt idx="1">
                  <c:v>OD</c:v>
                </c:pt>
                <c:pt idx="2">
                  <c:v>TA</c:v>
                </c:pt>
                <c:pt idx="3">
                  <c:v>FE</c:v>
                </c:pt>
                <c:pt idx="4">
                  <c:v>ME</c:v>
                </c:pt>
                <c:pt idx="5">
                  <c:v>HT</c:v>
                </c:pt>
                <c:pt idx="6">
                  <c:v>POF</c:v>
                </c:pt>
                <c:pt idx="7">
                  <c:v>TET</c:v>
                </c:pt>
                <c:pt idx="8">
                  <c:v>FET</c:v>
                </c:pt>
                <c:pt idx="9">
                  <c:v>MET</c:v>
                </c:pt>
                <c:pt idx="10">
                  <c:v>WD</c:v>
                </c:pt>
                <c:pt idx="11">
                  <c:v>FD</c:v>
                </c:pt>
              </c:strCache>
            </c:strRef>
          </c:cat>
          <c:val>
            <c:numRef>
              <c:f>Resumo!$F$9:$F$20</c:f>
              <c:numCache>
                <c:formatCode>0.00E+00</c:formatCode>
                <c:ptCount val="12"/>
                <c:pt idx="0">
                  <c:v>1.5279477025030306</c:v>
                </c:pt>
                <c:pt idx="1">
                  <c:v>2.3197593573738042E-7</c:v>
                </c:pt>
                <c:pt idx="2">
                  <c:v>8.5043142485290019E-3</c:v>
                </c:pt>
                <c:pt idx="3">
                  <c:v>7.2994408470819158E-4</c:v>
                </c:pt>
                <c:pt idx="4">
                  <c:v>4.8349563850537191E-4</c:v>
                </c:pt>
                <c:pt idx="5">
                  <c:v>0.71811855867114271</c:v>
                </c:pt>
                <c:pt idx="6">
                  <c:v>1.0951337663208403E-2</c:v>
                </c:pt>
                <c:pt idx="7">
                  <c:v>2.9681359264755987E-4</c:v>
                </c:pt>
                <c:pt idx="8">
                  <c:v>1.8685350754474597E-2</c:v>
                </c:pt>
                <c:pt idx="9">
                  <c:v>1.8782455303713246E-2</c:v>
                </c:pt>
                <c:pt idx="10">
                  <c:v>8.246739114654531</c:v>
                </c:pt>
                <c:pt idx="11">
                  <c:v>0.5315181313765206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69FD-4421-873C-E8147B74AA1D}"/>
            </c:ext>
          </c:extLst>
        </c:ser>
        <c:ser>
          <c:idx val="3"/>
          <c:order val="3"/>
          <c:tx>
            <c:strRef>
              <c:f>Resumo!$G$8</c:f>
              <c:strCache>
                <c:ptCount val="1"/>
                <c:pt idx="0">
                  <c:v>SS4</c:v>
                </c:pt>
              </c:strCache>
            </c:strRef>
          </c:tx>
          <c:spPr>
            <a:pattFill prst="wdUpDiag">
              <a:fgClr>
                <a:schemeClr val="tx1"/>
              </a:fgClr>
              <a:bgClr>
                <a:schemeClr val="bg1"/>
              </a:bgClr>
            </a:pattFill>
            <a:ln>
              <a:solidFill>
                <a:sysClr val="windowText" lastClr="000000"/>
              </a:solidFill>
            </a:ln>
          </c:spPr>
          <c:invertIfNegative val="0"/>
          <c:cat>
            <c:strRef>
              <c:f>Resumo!$C$9:$C$20</c:f>
              <c:strCache>
                <c:ptCount val="12"/>
                <c:pt idx="0">
                  <c:v>CC</c:v>
                </c:pt>
                <c:pt idx="1">
                  <c:v>OD</c:v>
                </c:pt>
                <c:pt idx="2">
                  <c:v>TA</c:v>
                </c:pt>
                <c:pt idx="3">
                  <c:v>FE</c:v>
                </c:pt>
                <c:pt idx="4">
                  <c:v>ME</c:v>
                </c:pt>
                <c:pt idx="5">
                  <c:v>HT</c:v>
                </c:pt>
                <c:pt idx="6">
                  <c:v>POF</c:v>
                </c:pt>
                <c:pt idx="7">
                  <c:v>TET</c:v>
                </c:pt>
                <c:pt idx="8">
                  <c:v>FET</c:v>
                </c:pt>
                <c:pt idx="9">
                  <c:v>MET</c:v>
                </c:pt>
                <c:pt idx="10">
                  <c:v>WD</c:v>
                </c:pt>
                <c:pt idx="11">
                  <c:v>FD</c:v>
                </c:pt>
              </c:strCache>
            </c:strRef>
          </c:cat>
          <c:val>
            <c:numRef>
              <c:f>Resumo!$G$9:$G$20</c:f>
              <c:numCache>
                <c:formatCode>0.00E+00</c:formatCode>
                <c:ptCount val="12"/>
                <c:pt idx="0">
                  <c:v>5.2849353988322765</c:v>
                </c:pt>
                <c:pt idx="1">
                  <c:v>8.2594174621922783E-7</c:v>
                </c:pt>
                <c:pt idx="2">
                  <c:v>4.4560935932131243E-2</c:v>
                </c:pt>
                <c:pt idx="3">
                  <c:v>4.4035360954466115E-4</c:v>
                </c:pt>
                <c:pt idx="4">
                  <c:v>2.7069574812286072E-3</c:v>
                </c:pt>
                <c:pt idx="5">
                  <c:v>0.79732841528606402</c:v>
                </c:pt>
                <c:pt idx="6">
                  <c:v>7.6999177113616118E-2</c:v>
                </c:pt>
                <c:pt idx="7">
                  <c:v>5.0967929832331893E-4</c:v>
                </c:pt>
                <c:pt idx="8">
                  <c:v>1.5570665875612569E-2</c:v>
                </c:pt>
                <c:pt idx="9">
                  <c:v>1.6384251508217783E-2</c:v>
                </c:pt>
                <c:pt idx="10">
                  <c:v>12.198455225876199</c:v>
                </c:pt>
                <c:pt idx="11">
                  <c:v>1.7409045595744244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69FD-4421-873C-E8147B74AA1D}"/>
            </c:ext>
          </c:extLst>
        </c:ser>
        <c:ser>
          <c:idx val="4"/>
          <c:order val="4"/>
          <c:tx>
            <c:strRef>
              <c:f>Resumo!$H$8</c:f>
              <c:strCache>
                <c:ptCount val="1"/>
                <c:pt idx="0">
                  <c:v>SS5</c:v>
                </c:pt>
              </c:strCache>
            </c:strRef>
          </c:tx>
          <c:spPr>
            <a:solidFill>
              <a:schemeClr val="tx1"/>
            </a:solidFill>
            <a:ln>
              <a:solidFill>
                <a:sysClr val="windowText" lastClr="000000"/>
              </a:solidFill>
            </a:ln>
          </c:spPr>
          <c:invertIfNegative val="0"/>
          <c:cat>
            <c:strRef>
              <c:f>Resumo!$C$9:$C$20</c:f>
              <c:strCache>
                <c:ptCount val="12"/>
                <c:pt idx="0">
                  <c:v>CC</c:v>
                </c:pt>
                <c:pt idx="1">
                  <c:v>OD</c:v>
                </c:pt>
                <c:pt idx="2">
                  <c:v>TA</c:v>
                </c:pt>
                <c:pt idx="3">
                  <c:v>FE</c:v>
                </c:pt>
                <c:pt idx="4">
                  <c:v>ME</c:v>
                </c:pt>
                <c:pt idx="5">
                  <c:v>HT</c:v>
                </c:pt>
                <c:pt idx="6">
                  <c:v>POF</c:v>
                </c:pt>
                <c:pt idx="7">
                  <c:v>TET</c:v>
                </c:pt>
                <c:pt idx="8">
                  <c:v>FET</c:v>
                </c:pt>
                <c:pt idx="9">
                  <c:v>MET</c:v>
                </c:pt>
                <c:pt idx="10">
                  <c:v>WD</c:v>
                </c:pt>
                <c:pt idx="11">
                  <c:v>FD</c:v>
                </c:pt>
              </c:strCache>
            </c:strRef>
          </c:cat>
          <c:val>
            <c:numRef>
              <c:f>Resumo!$H$9:$H$20</c:f>
              <c:numCache>
                <c:formatCode>0.00E+00</c:formatCode>
                <c:ptCount val="12"/>
                <c:pt idx="0">
                  <c:v>0.21355541596408079</c:v>
                </c:pt>
                <c:pt idx="1">
                  <c:v>2.9384157424428742E-8</c:v>
                </c:pt>
                <c:pt idx="2">
                  <c:v>1.1252852516891931E-3</c:v>
                </c:pt>
                <c:pt idx="3">
                  <c:v>6.9160908786475335E-5</c:v>
                </c:pt>
                <c:pt idx="4">
                  <c:v>6.3144252228018599E-5</c:v>
                </c:pt>
                <c:pt idx="5">
                  <c:v>9.274509308807076E-2</c:v>
                </c:pt>
                <c:pt idx="6">
                  <c:v>1.7033688527965649E-3</c:v>
                </c:pt>
                <c:pt idx="7">
                  <c:v>1.2923236333632483E-5</c:v>
                </c:pt>
                <c:pt idx="8">
                  <c:v>2.3353648520930514E-3</c:v>
                </c:pt>
                <c:pt idx="9">
                  <c:v>2.4037693832351099E-3</c:v>
                </c:pt>
                <c:pt idx="10">
                  <c:v>1.1589838930358141</c:v>
                </c:pt>
                <c:pt idx="11">
                  <c:v>7.5482575852399744E-2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69FD-4421-873C-E8147B74AA1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75"/>
        <c:overlap val="100"/>
        <c:axId val="232256512"/>
        <c:axId val="324733760"/>
      </c:barChart>
      <c:catAx>
        <c:axId val="232256512"/>
        <c:scaling>
          <c:orientation val="minMax"/>
        </c:scaling>
        <c:delete val="0"/>
        <c:axPos val="b"/>
        <c:numFmt formatCode="General" sourceLinked="0"/>
        <c:majorTickMark val="none"/>
        <c:minorTickMark val="none"/>
        <c:tickLblPos val="nextTo"/>
        <c:crossAx val="324733760"/>
        <c:crosses val="autoZero"/>
        <c:auto val="1"/>
        <c:lblAlgn val="ctr"/>
        <c:lblOffset val="100"/>
        <c:noMultiLvlLbl val="0"/>
      </c:catAx>
      <c:valAx>
        <c:axId val="324733760"/>
        <c:scaling>
          <c:orientation val="minMax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pt-BR"/>
                  <a:t>Relative contributions</a:t>
                </a:r>
              </a:p>
            </c:rich>
          </c:tx>
          <c:layout>
            <c:manualLayout>
              <c:xMode val="edge"/>
              <c:yMode val="edge"/>
              <c:x val="3.5927222060205458E-4"/>
              <c:y val="0.17270640680917329"/>
            </c:manualLayout>
          </c:layout>
          <c:overlay val="0"/>
        </c:title>
        <c:numFmt formatCode="0%" sourceLinked="1"/>
        <c:majorTickMark val="none"/>
        <c:minorTickMark val="none"/>
        <c:tickLblPos val="nextTo"/>
        <c:crossAx val="232256512"/>
        <c:crosses val="autoZero"/>
        <c:crossBetween val="between"/>
        <c:majorUnit val="0.2"/>
      </c:valAx>
    </c:plotArea>
    <c:legend>
      <c:legendPos val="b"/>
      <c:layout>
        <c:manualLayout>
          <c:xMode val="edge"/>
          <c:yMode val="edge"/>
          <c:x val="4.5697444642230339E-3"/>
          <c:y val="0.89639330683408003"/>
          <c:w val="0.99317689738793158"/>
          <c:h val="7.0155051514083119E-2"/>
        </c:manualLayout>
      </c:layout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es-ES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5729851859968796"/>
          <c:y val="5.1400554097404488E-2"/>
          <c:w val="0.80294004998878121"/>
          <c:h val="0.64435185185185184"/>
        </c:manualLayout>
      </c:layout>
      <c:barChart>
        <c:barDir val="col"/>
        <c:grouping val="percentStacked"/>
        <c:varyColors val="0"/>
        <c:ser>
          <c:idx val="0"/>
          <c:order val="0"/>
          <c:tx>
            <c:strRef>
              <c:f>'Soil preparation'!$C$24</c:f>
              <c:strCache>
                <c:ptCount val="1"/>
                <c:pt idx="0">
                  <c:v>Subsoiling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'Soil preparation'!$B$25:$B$36</c:f>
              <c:strCache>
                <c:ptCount val="12"/>
                <c:pt idx="0">
                  <c:v>CC</c:v>
                </c:pt>
                <c:pt idx="1">
                  <c:v>OD</c:v>
                </c:pt>
                <c:pt idx="2">
                  <c:v>TA</c:v>
                </c:pt>
                <c:pt idx="3">
                  <c:v>FE</c:v>
                </c:pt>
                <c:pt idx="4">
                  <c:v>ME</c:v>
                </c:pt>
                <c:pt idx="5">
                  <c:v>HT</c:v>
                </c:pt>
                <c:pt idx="6">
                  <c:v>POF</c:v>
                </c:pt>
                <c:pt idx="7">
                  <c:v>TET</c:v>
                </c:pt>
                <c:pt idx="8">
                  <c:v>FET</c:v>
                </c:pt>
                <c:pt idx="9">
                  <c:v>MET</c:v>
                </c:pt>
                <c:pt idx="10">
                  <c:v>WD</c:v>
                </c:pt>
                <c:pt idx="11">
                  <c:v>FD</c:v>
                </c:pt>
              </c:strCache>
            </c:strRef>
          </c:cat>
          <c:val>
            <c:numRef>
              <c:f>'Soil preparation'!$C$25:$C$36</c:f>
              <c:numCache>
                <c:formatCode>General</c:formatCode>
                <c:ptCount val="12"/>
                <c:pt idx="0">
                  <c:v>9.5772272574504894E-2</c:v>
                </c:pt>
                <c:pt idx="1">
                  <c:v>1.45404582960018E-8</c:v>
                </c:pt>
                <c:pt idx="2">
                  <c:v>5.6908440266862802E-4</c:v>
                </c:pt>
                <c:pt idx="3">
                  <c:v>2.1386962594050999E-5</c:v>
                </c:pt>
                <c:pt idx="4">
                  <c:v>3.3752301640870002E-5</c:v>
                </c:pt>
                <c:pt idx="5">
                  <c:v>2.9666103949903402E-2</c:v>
                </c:pt>
                <c:pt idx="6">
                  <c:v>8.8381583187775498E-4</c:v>
                </c:pt>
                <c:pt idx="7">
                  <c:v>7.9053545094193294E-6</c:v>
                </c:pt>
                <c:pt idx="8">
                  <c:v>7.5737843103428504E-4</c:v>
                </c:pt>
                <c:pt idx="9">
                  <c:v>7.7833815447025403E-4</c:v>
                </c:pt>
                <c:pt idx="10">
                  <c:v>0.37548897365978401</c:v>
                </c:pt>
                <c:pt idx="11">
                  <c:v>3.35287813130319E-2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4D8-4DE5-8F32-194C4995D43A}"/>
            </c:ext>
          </c:extLst>
        </c:ser>
        <c:ser>
          <c:idx val="1"/>
          <c:order val="1"/>
          <c:tx>
            <c:strRef>
              <c:f>'Soil preparation'!$D$24</c:f>
              <c:strCache>
                <c:ptCount val="1"/>
                <c:pt idx="0">
                  <c:v>Lowering strains 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'Soil preparation'!$B$25:$B$36</c:f>
              <c:strCache>
                <c:ptCount val="12"/>
                <c:pt idx="0">
                  <c:v>CC</c:v>
                </c:pt>
                <c:pt idx="1">
                  <c:v>OD</c:v>
                </c:pt>
                <c:pt idx="2">
                  <c:v>TA</c:v>
                </c:pt>
                <c:pt idx="3">
                  <c:v>FE</c:v>
                </c:pt>
                <c:pt idx="4">
                  <c:v>ME</c:v>
                </c:pt>
                <c:pt idx="5">
                  <c:v>HT</c:v>
                </c:pt>
                <c:pt idx="6">
                  <c:v>POF</c:v>
                </c:pt>
                <c:pt idx="7">
                  <c:v>TET</c:v>
                </c:pt>
                <c:pt idx="8">
                  <c:v>FET</c:v>
                </c:pt>
                <c:pt idx="9">
                  <c:v>MET</c:v>
                </c:pt>
                <c:pt idx="10">
                  <c:v>WD</c:v>
                </c:pt>
                <c:pt idx="11">
                  <c:v>FD</c:v>
                </c:pt>
              </c:strCache>
            </c:strRef>
          </c:cat>
          <c:val>
            <c:numRef>
              <c:f>'Soil preparation'!$D$25:$D$36</c:f>
              <c:numCache>
                <c:formatCode>General</c:formatCode>
                <c:ptCount val="12"/>
                <c:pt idx="0">
                  <c:v>4.6890192438699303E-3</c:v>
                </c:pt>
                <c:pt idx="1">
                  <c:v>1.4185964852118699E-9</c:v>
                </c:pt>
                <c:pt idx="2">
                  <c:v>2.16381299013312E-5</c:v>
                </c:pt>
                <c:pt idx="3">
                  <c:v>2.0535454974159E-6</c:v>
                </c:pt>
                <c:pt idx="4">
                  <c:v>1.0404242352635801E-6</c:v>
                </c:pt>
                <c:pt idx="5">
                  <c:v>3.4417210361869502E-3</c:v>
                </c:pt>
                <c:pt idx="6">
                  <c:v>2.7400572299324601E-5</c:v>
                </c:pt>
                <c:pt idx="7">
                  <c:v>2.1060318414639399E-6</c:v>
                </c:pt>
                <c:pt idx="8">
                  <c:v>7.2062892178519094E-5</c:v>
                </c:pt>
                <c:pt idx="9">
                  <c:v>7.30119180415952E-5</c:v>
                </c:pt>
                <c:pt idx="10">
                  <c:v>3.6280165293822803E-2</c:v>
                </c:pt>
                <c:pt idx="11">
                  <c:v>3.25686641098402E-3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B4D8-4DE5-8F32-194C4995D43A}"/>
            </c:ext>
          </c:extLst>
        </c:ser>
        <c:ser>
          <c:idx val="2"/>
          <c:order val="2"/>
          <c:tx>
            <c:strRef>
              <c:f>'Soil preparation'!$E$24</c:f>
              <c:strCache>
                <c:ptCount val="1"/>
                <c:pt idx="0">
                  <c:v>Waste scattering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'Soil preparation'!$B$25:$B$36</c:f>
              <c:strCache>
                <c:ptCount val="12"/>
                <c:pt idx="0">
                  <c:v>CC</c:v>
                </c:pt>
                <c:pt idx="1">
                  <c:v>OD</c:v>
                </c:pt>
                <c:pt idx="2">
                  <c:v>TA</c:v>
                </c:pt>
                <c:pt idx="3">
                  <c:v>FE</c:v>
                </c:pt>
                <c:pt idx="4">
                  <c:v>ME</c:v>
                </c:pt>
                <c:pt idx="5">
                  <c:v>HT</c:v>
                </c:pt>
                <c:pt idx="6">
                  <c:v>POF</c:v>
                </c:pt>
                <c:pt idx="7">
                  <c:v>TET</c:v>
                </c:pt>
                <c:pt idx="8">
                  <c:v>FET</c:v>
                </c:pt>
                <c:pt idx="9">
                  <c:v>MET</c:v>
                </c:pt>
                <c:pt idx="10">
                  <c:v>WD</c:v>
                </c:pt>
                <c:pt idx="11">
                  <c:v>FD</c:v>
                </c:pt>
              </c:strCache>
            </c:strRef>
          </c:cat>
          <c:val>
            <c:numRef>
              <c:f>'Soil preparation'!$E$25:$E$36</c:f>
              <c:numCache>
                <c:formatCode>General</c:formatCode>
                <c:ptCount val="12"/>
                <c:pt idx="0">
                  <c:v>2.3952271656914301E-2</c:v>
                </c:pt>
                <c:pt idx="1">
                  <c:v>1.3144570370739E-8</c:v>
                </c:pt>
                <c:pt idx="2">
                  <c:v>1.4138544062812701E-4</c:v>
                </c:pt>
                <c:pt idx="3">
                  <c:v>6.7601896791477603E-6</c:v>
                </c:pt>
                <c:pt idx="4">
                  <c:v>7.3447096339440003E-6</c:v>
                </c:pt>
                <c:pt idx="5">
                  <c:v>8.8015370492080004E-3</c:v>
                </c:pt>
                <c:pt idx="6">
                  <c:v>1.7286065193948601E-4</c:v>
                </c:pt>
                <c:pt idx="7">
                  <c:v>3.5515458322670801E-6</c:v>
                </c:pt>
                <c:pt idx="8">
                  <c:v>2.9479433219725801E-4</c:v>
                </c:pt>
                <c:pt idx="9">
                  <c:v>2.8940668284654301E-4</c:v>
                </c:pt>
                <c:pt idx="10">
                  <c:v>0.14452364509892601</c:v>
                </c:pt>
                <c:pt idx="11">
                  <c:v>2.68221485113685E-2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B4D8-4DE5-8F32-194C4995D43A}"/>
            </c:ext>
          </c:extLst>
        </c:ser>
        <c:ser>
          <c:idx val="3"/>
          <c:order val="3"/>
          <c:tx>
            <c:strRef>
              <c:f>'Soil preparation'!$F$24</c:f>
              <c:strCache>
                <c:ptCount val="1"/>
                <c:pt idx="0">
                  <c:v>Pest control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cat>
            <c:strRef>
              <c:f>'Soil preparation'!$B$25:$B$36</c:f>
              <c:strCache>
                <c:ptCount val="12"/>
                <c:pt idx="0">
                  <c:v>CC</c:v>
                </c:pt>
                <c:pt idx="1">
                  <c:v>OD</c:v>
                </c:pt>
                <c:pt idx="2">
                  <c:v>TA</c:v>
                </c:pt>
                <c:pt idx="3">
                  <c:v>FE</c:v>
                </c:pt>
                <c:pt idx="4">
                  <c:v>ME</c:v>
                </c:pt>
                <c:pt idx="5">
                  <c:v>HT</c:v>
                </c:pt>
                <c:pt idx="6">
                  <c:v>POF</c:v>
                </c:pt>
                <c:pt idx="7">
                  <c:v>TET</c:v>
                </c:pt>
                <c:pt idx="8">
                  <c:v>FET</c:v>
                </c:pt>
                <c:pt idx="9">
                  <c:v>MET</c:v>
                </c:pt>
                <c:pt idx="10">
                  <c:v>WD</c:v>
                </c:pt>
                <c:pt idx="11">
                  <c:v>FD</c:v>
                </c:pt>
              </c:strCache>
            </c:strRef>
          </c:cat>
          <c:val>
            <c:numRef>
              <c:f>'Soil preparation'!$F$25:$F$36</c:f>
              <c:numCache>
                <c:formatCode>General</c:formatCode>
                <c:ptCount val="12"/>
                <c:pt idx="0">
                  <c:v>6.0735291735759499E-2</c:v>
                </c:pt>
                <c:pt idx="1">
                  <c:v>8.4279612969835158E-9</c:v>
                </c:pt>
                <c:pt idx="2">
                  <c:v>3.3046210423607058E-4</c:v>
                </c:pt>
                <c:pt idx="3">
                  <c:v>1.9947787216901445E-5</c:v>
                </c:pt>
                <c:pt idx="4">
                  <c:v>1.8556438430649289E-5</c:v>
                </c:pt>
                <c:pt idx="5">
                  <c:v>2.9100506726341537E-2</c:v>
                </c:pt>
                <c:pt idx="6">
                  <c:v>5.1457524107382244E-4</c:v>
                </c:pt>
                <c:pt idx="7">
                  <c:v>7.5181610568783033E-6</c:v>
                </c:pt>
                <c:pt idx="8">
                  <c:v>6.6225681434126397E-4</c:v>
                </c:pt>
                <c:pt idx="9">
                  <c:v>6.8525123471043544E-4</c:v>
                </c:pt>
                <c:pt idx="10">
                  <c:v>0.33953381324869059</c:v>
                </c:pt>
                <c:pt idx="11">
                  <c:v>2.1557687568563938E-2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B4D8-4DE5-8F32-194C4995D43A}"/>
            </c:ext>
          </c:extLst>
        </c:ser>
        <c:ser>
          <c:idx val="4"/>
          <c:order val="4"/>
          <c:tx>
            <c:strRef>
              <c:f>'Soil preparation'!$G$24</c:f>
              <c:strCache>
                <c:ptCount val="1"/>
                <c:pt idx="0">
                  <c:v>Mineral fertilization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cat>
            <c:strRef>
              <c:f>'Soil preparation'!$B$25:$B$36</c:f>
              <c:strCache>
                <c:ptCount val="12"/>
                <c:pt idx="0">
                  <c:v>CC</c:v>
                </c:pt>
                <c:pt idx="1">
                  <c:v>OD</c:v>
                </c:pt>
                <c:pt idx="2">
                  <c:v>TA</c:v>
                </c:pt>
                <c:pt idx="3">
                  <c:v>FE</c:v>
                </c:pt>
                <c:pt idx="4">
                  <c:v>ME</c:v>
                </c:pt>
                <c:pt idx="5">
                  <c:v>HT</c:v>
                </c:pt>
                <c:pt idx="6">
                  <c:v>POF</c:v>
                </c:pt>
                <c:pt idx="7">
                  <c:v>TET</c:v>
                </c:pt>
                <c:pt idx="8">
                  <c:v>FET</c:v>
                </c:pt>
                <c:pt idx="9">
                  <c:v>MET</c:v>
                </c:pt>
                <c:pt idx="10">
                  <c:v>WD</c:v>
                </c:pt>
                <c:pt idx="11">
                  <c:v>FD</c:v>
                </c:pt>
              </c:strCache>
            </c:strRef>
          </c:cat>
          <c:val>
            <c:numRef>
              <c:f>'Soil preparation'!$G$25:$G$36</c:f>
              <c:numCache>
                <c:formatCode>General</c:formatCode>
                <c:ptCount val="12"/>
                <c:pt idx="0">
                  <c:v>0.82246274743662862</c:v>
                </c:pt>
                <c:pt idx="1">
                  <c:v>1.0283584321214836E-7</c:v>
                </c:pt>
                <c:pt idx="2">
                  <c:v>7.1720859763389055E-3</c:v>
                </c:pt>
                <c:pt idx="3">
                  <c:v>6.2397597129726812E-4</c:v>
                </c:pt>
                <c:pt idx="4">
                  <c:v>2.3820684298768213E-4</c:v>
                </c:pt>
                <c:pt idx="5">
                  <c:v>0.56932750578811198</c:v>
                </c:pt>
                <c:pt idx="6">
                  <c:v>4.9871981148897808E-3</c:v>
                </c:pt>
                <c:pt idx="7">
                  <c:v>1.7356271336874143E-4</c:v>
                </c:pt>
                <c:pt idx="8">
                  <c:v>1.8574004823869922E-2</c:v>
                </c:pt>
                <c:pt idx="9">
                  <c:v>1.7695584683477619E-2</c:v>
                </c:pt>
                <c:pt idx="10">
                  <c:v>8.6771463024963289</c:v>
                </c:pt>
                <c:pt idx="11">
                  <c:v>0.28673482524581601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B4D8-4DE5-8F32-194C4995D43A}"/>
            </c:ext>
          </c:extLst>
        </c:ser>
        <c:ser>
          <c:idx val="5"/>
          <c:order val="5"/>
          <c:tx>
            <c:strRef>
              <c:f>'Soil preparation'!$H$24</c:f>
              <c:strCache>
                <c:ptCount val="1"/>
                <c:pt idx="0">
                  <c:v>Chemical weeding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cat>
            <c:strRef>
              <c:f>'Soil preparation'!$B$25:$B$36</c:f>
              <c:strCache>
                <c:ptCount val="12"/>
                <c:pt idx="0">
                  <c:v>CC</c:v>
                </c:pt>
                <c:pt idx="1">
                  <c:v>OD</c:v>
                </c:pt>
                <c:pt idx="2">
                  <c:v>TA</c:v>
                </c:pt>
                <c:pt idx="3">
                  <c:v>FE</c:v>
                </c:pt>
                <c:pt idx="4">
                  <c:v>ME</c:v>
                </c:pt>
                <c:pt idx="5">
                  <c:v>HT</c:v>
                </c:pt>
                <c:pt idx="6">
                  <c:v>POF</c:v>
                </c:pt>
                <c:pt idx="7">
                  <c:v>TET</c:v>
                </c:pt>
                <c:pt idx="8">
                  <c:v>FET</c:v>
                </c:pt>
                <c:pt idx="9">
                  <c:v>MET</c:v>
                </c:pt>
                <c:pt idx="10">
                  <c:v>WD</c:v>
                </c:pt>
                <c:pt idx="11">
                  <c:v>FD</c:v>
                </c:pt>
              </c:strCache>
            </c:strRef>
          </c:cat>
          <c:val>
            <c:numRef>
              <c:f>'Soil preparation'!$H$25:$H$36</c:f>
              <c:numCache>
                <c:formatCode>General</c:formatCode>
                <c:ptCount val="12"/>
                <c:pt idx="0">
                  <c:v>0.12051139508234078</c:v>
                </c:pt>
                <c:pt idx="1">
                  <c:v>1.6398241831216063E-8</c:v>
                </c:pt>
                <c:pt idx="2">
                  <c:v>6.4717528802228468E-4</c:v>
                </c:pt>
                <c:pt idx="3">
                  <c:v>4.0873285529145059E-5</c:v>
                </c:pt>
                <c:pt idx="4">
                  <c:v>3.6163615804687197E-5</c:v>
                </c:pt>
                <c:pt idx="5">
                  <c:v>5.9255376119762074E-2</c:v>
                </c:pt>
                <c:pt idx="6">
                  <c:v>1.0064532932090038E-3</c:v>
                </c:pt>
                <c:pt idx="7">
                  <c:v>1.4538828999630072E-5</c:v>
                </c:pt>
                <c:pt idx="8">
                  <c:v>1.3451952332906301E-3</c:v>
                </c:pt>
                <c:pt idx="9">
                  <c:v>1.3885331611775602E-3</c:v>
                </c:pt>
                <c:pt idx="10">
                  <c:v>3.9875898763126957E-2</c:v>
                </c:pt>
                <c:pt idx="11">
                  <c:v>4.2554736604788618E-2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B4D8-4DE5-8F32-194C4995D43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75"/>
        <c:overlap val="100"/>
        <c:axId val="232259584"/>
        <c:axId val="324735488"/>
      </c:barChart>
      <c:catAx>
        <c:axId val="232259584"/>
        <c:scaling>
          <c:orientation val="minMax"/>
        </c:scaling>
        <c:delete val="0"/>
        <c:axPos val="b"/>
        <c:numFmt formatCode="General" sourceLinked="0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tint val="75000"/>
                <a:shade val="95000"/>
                <a:satMod val="105000"/>
              </a:schemeClr>
            </a:solidFill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s-ES"/>
          </a:p>
        </c:txPr>
        <c:crossAx val="324735488"/>
        <c:crosses val="autoZero"/>
        <c:auto val="1"/>
        <c:lblAlgn val="ctr"/>
        <c:lblOffset val="100"/>
        <c:noMultiLvlLbl val="0"/>
      </c:catAx>
      <c:valAx>
        <c:axId val="32473548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tint val="75000"/>
                  <a:shade val="95000"/>
                  <a:satMod val="105000"/>
                </a:schemeClr>
              </a:solidFill>
              <a:prstDash val="solid"/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1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pt-BR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Relative contributions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0%" sourceLinked="1"/>
        <c:majorTickMark val="none"/>
        <c:minorTickMark val="none"/>
        <c:tickLblPos val="nextTo"/>
        <c:spPr>
          <a:noFill/>
          <a:ln w="9525" cap="flat" cmpd="sng" algn="ctr">
            <a:noFill/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s-ES"/>
          </a:p>
        </c:txPr>
        <c:crossAx val="232259584"/>
        <c:crosses val="autoZero"/>
        <c:crossBetween val="between"/>
        <c:majorUnit val="0.2"/>
      </c:valAx>
      <c:spPr>
        <a:solidFill>
          <a:schemeClr val="bg1"/>
        </a:solidFill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5.6461232604373746E-2"/>
          <c:y val="0.81173228346456694"/>
          <c:w val="0.91358515573227306"/>
          <c:h val="0.1604899387576553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prstDash val="solid"/>
      <a:round/>
    </a:ln>
    <a:effectLst/>
  </c:spPr>
  <c:txPr>
    <a:bodyPr/>
    <a:lstStyle/>
    <a:p>
      <a:pPr>
        <a:defRPr/>
      </a:pPr>
      <a:endParaRPr lang="es-ES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3"/>
    </mc:Choice>
    <mc:Fallback>
      <c:style val="3"/>
    </mc:Fallback>
  </mc:AlternateContent>
  <c:chart>
    <c:autoTitleDeleted val="1"/>
    <c:plotArea>
      <c:layout/>
      <c:barChart>
        <c:barDir val="col"/>
        <c:grouping val="percentStacked"/>
        <c:varyColors val="0"/>
        <c:ser>
          <c:idx val="0"/>
          <c:order val="0"/>
          <c:tx>
            <c:strRef>
              <c:f>Planting!$C$6</c:f>
              <c:strCache>
                <c:ptCount val="1"/>
                <c:pt idx="0">
                  <c:v>Planting</c:v>
                </c:pt>
              </c:strCache>
            </c:strRef>
          </c:tx>
          <c:invertIfNegative val="0"/>
          <c:cat>
            <c:strRef>
              <c:f>Planting!$B$7:$B$18</c:f>
              <c:strCache>
                <c:ptCount val="12"/>
                <c:pt idx="0">
                  <c:v>CC</c:v>
                </c:pt>
                <c:pt idx="1">
                  <c:v>OD</c:v>
                </c:pt>
                <c:pt idx="2">
                  <c:v>TA</c:v>
                </c:pt>
                <c:pt idx="3">
                  <c:v>FE</c:v>
                </c:pt>
                <c:pt idx="4">
                  <c:v>ME</c:v>
                </c:pt>
                <c:pt idx="5">
                  <c:v>HT</c:v>
                </c:pt>
                <c:pt idx="6">
                  <c:v>POF</c:v>
                </c:pt>
                <c:pt idx="7">
                  <c:v>TET</c:v>
                </c:pt>
                <c:pt idx="8">
                  <c:v>FET</c:v>
                </c:pt>
                <c:pt idx="9">
                  <c:v>MET</c:v>
                </c:pt>
                <c:pt idx="10">
                  <c:v>WD</c:v>
                </c:pt>
                <c:pt idx="11">
                  <c:v>FD</c:v>
                </c:pt>
              </c:strCache>
            </c:strRef>
          </c:cat>
          <c:val>
            <c:numRef>
              <c:f>Planting!$C$7:$C$18</c:f>
              <c:numCache>
                <c:formatCode>General</c:formatCode>
                <c:ptCount val="12"/>
                <c:pt idx="0">
                  <c:v>0.1916150869936718</c:v>
                </c:pt>
                <c:pt idx="1">
                  <c:v>2.6250958388569311E-8</c:v>
                </c:pt>
                <c:pt idx="2">
                  <c:v>1.2995157508447822E-3</c:v>
                </c:pt>
                <c:pt idx="3">
                  <c:v>3.3061743185958982E-5</c:v>
                </c:pt>
                <c:pt idx="4">
                  <c:v>7.6590229383847281E-5</c:v>
                </c:pt>
                <c:pt idx="5">
                  <c:v>5.2605398961870165E-2</c:v>
                </c:pt>
                <c:pt idx="6">
                  <c:v>2.2220398526289634E-3</c:v>
                </c:pt>
                <c:pt idx="7">
                  <c:v>2.8034455534354954E-5</c:v>
                </c:pt>
                <c:pt idx="8">
                  <c:v>1.0912092692027607E-3</c:v>
                </c:pt>
                <c:pt idx="9">
                  <c:v>1.1477682688297442E-3</c:v>
                </c:pt>
                <c:pt idx="10">
                  <c:v>0.70212284592702101</c:v>
                </c:pt>
                <c:pt idx="11">
                  <c:v>6.366337097069931E-2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DE4-4EDD-8A48-C8FC1D30931F}"/>
            </c:ext>
          </c:extLst>
        </c:ser>
        <c:ser>
          <c:idx val="1"/>
          <c:order val="1"/>
          <c:tx>
            <c:strRef>
              <c:f>Planting!$D$6</c:f>
              <c:strCache>
                <c:ptCount val="1"/>
                <c:pt idx="0">
                  <c:v>Irrigation</c:v>
                </c:pt>
              </c:strCache>
            </c:strRef>
          </c:tx>
          <c:invertIfNegative val="0"/>
          <c:cat>
            <c:strRef>
              <c:f>Planting!$B$7:$B$18</c:f>
              <c:strCache>
                <c:ptCount val="12"/>
                <c:pt idx="0">
                  <c:v>CC</c:v>
                </c:pt>
                <c:pt idx="1">
                  <c:v>OD</c:v>
                </c:pt>
                <c:pt idx="2">
                  <c:v>TA</c:v>
                </c:pt>
                <c:pt idx="3">
                  <c:v>FE</c:v>
                </c:pt>
                <c:pt idx="4">
                  <c:v>ME</c:v>
                </c:pt>
                <c:pt idx="5">
                  <c:v>HT</c:v>
                </c:pt>
                <c:pt idx="6">
                  <c:v>POF</c:v>
                </c:pt>
                <c:pt idx="7">
                  <c:v>TET</c:v>
                </c:pt>
                <c:pt idx="8">
                  <c:v>FET</c:v>
                </c:pt>
                <c:pt idx="9">
                  <c:v>MET</c:v>
                </c:pt>
                <c:pt idx="10">
                  <c:v>WD</c:v>
                </c:pt>
                <c:pt idx="11">
                  <c:v>FD</c:v>
                </c:pt>
              </c:strCache>
            </c:strRef>
          </c:cat>
          <c:val>
            <c:numRef>
              <c:f>Planting!$D$7:$D$18</c:f>
              <c:numCache>
                <c:formatCode>General</c:formatCode>
                <c:ptCount val="12"/>
                <c:pt idx="0">
                  <c:v>5.5580549183276387E-2</c:v>
                </c:pt>
                <c:pt idx="1">
                  <c:v>6.2700352632175287E-9</c:v>
                </c:pt>
                <c:pt idx="2">
                  <c:v>2.317667680922031E-4</c:v>
                </c:pt>
                <c:pt idx="3">
                  <c:v>2.5718610650714615E-5</c:v>
                </c:pt>
                <c:pt idx="4">
                  <c:v>1.15797261724542E-5</c:v>
                </c:pt>
                <c:pt idx="5">
                  <c:v>3.5150459526730501E-2</c:v>
                </c:pt>
                <c:pt idx="6">
                  <c:v>3.4015892265894617E-4</c:v>
                </c:pt>
                <c:pt idx="7">
                  <c:v>7.4891028089084954E-6</c:v>
                </c:pt>
                <c:pt idx="8">
                  <c:v>8.7585862903703587E-4</c:v>
                </c:pt>
                <c:pt idx="9">
                  <c:v>9.0140166552124155E-4</c:v>
                </c:pt>
                <c:pt idx="10">
                  <c:v>0.41410491203000815</c:v>
                </c:pt>
                <c:pt idx="11">
                  <c:v>1.9512831642853321E-2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CDE4-4EDD-8A48-C8FC1D30931F}"/>
            </c:ext>
          </c:extLst>
        </c:ser>
        <c:ser>
          <c:idx val="2"/>
          <c:order val="2"/>
          <c:tx>
            <c:strRef>
              <c:f>Planting!$E$6</c:f>
              <c:strCache>
                <c:ptCount val="1"/>
                <c:pt idx="0">
                  <c:v>Re-planting</c:v>
                </c:pt>
              </c:strCache>
            </c:strRef>
          </c:tx>
          <c:invertIfNegative val="0"/>
          <c:cat>
            <c:strRef>
              <c:f>Planting!$B$7:$B$18</c:f>
              <c:strCache>
                <c:ptCount val="12"/>
                <c:pt idx="0">
                  <c:v>CC</c:v>
                </c:pt>
                <c:pt idx="1">
                  <c:v>OD</c:v>
                </c:pt>
                <c:pt idx="2">
                  <c:v>TA</c:v>
                </c:pt>
                <c:pt idx="3">
                  <c:v>FE</c:v>
                </c:pt>
                <c:pt idx="4">
                  <c:v>ME</c:v>
                </c:pt>
                <c:pt idx="5">
                  <c:v>HT</c:v>
                </c:pt>
                <c:pt idx="6">
                  <c:v>POF</c:v>
                </c:pt>
                <c:pt idx="7">
                  <c:v>TET</c:v>
                </c:pt>
                <c:pt idx="8">
                  <c:v>FET</c:v>
                </c:pt>
                <c:pt idx="9">
                  <c:v>MET</c:v>
                </c:pt>
                <c:pt idx="10">
                  <c:v>WD</c:v>
                </c:pt>
                <c:pt idx="11">
                  <c:v>FD</c:v>
                </c:pt>
              </c:strCache>
            </c:strRef>
          </c:cat>
          <c:val>
            <c:numRef>
              <c:f>Planting!$E$7:$E$18</c:f>
              <c:numCache>
                <c:formatCode>General</c:formatCode>
                <c:ptCount val="12"/>
                <c:pt idx="0">
                  <c:v>9.580754349683597E-2</c:v>
                </c:pt>
                <c:pt idx="1">
                  <c:v>1.3125479194284662E-8</c:v>
                </c:pt>
                <c:pt idx="2">
                  <c:v>6.497578754223912E-4</c:v>
                </c:pt>
                <c:pt idx="3">
                  <c:v>1.6530871592979494E-5</c:v>
                </c:pt>
                <c:pt idx="4">
                  <c:v>3.8295114691923647E-5</c:v>
                </c:pt>
                <c:pt idx="5">
                  <c:v>2.6302699480935089E-2</c:v>
                </c:pt>
                <c:pt idx="6">
                  <c:v>1.1110199263144813E-3</c:v>
                </c:pt>
                <c:pt idx="7">
                  <c:v>1.4017227767177463E-5</c:v>
                </c:pt>
                <c:pt idx="8">
                  <c:v>5.4560463460138022E-4</c:v>
                </c:pt>
                <c:pt idx="9">
                  <c:v>5.7388413441487266E-4</c:v>
                </c:pt>
                <c:pt idx="10">
                  <c:v>0.35106142296351067</c:v>
                </c:pt>
                <c:pt idx="11">
                  <c:v>3.1831685485349689E-2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CDE4-4EDD-8A48-C8FC1D30931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75"/>
        <c:overlap val="100"/>
        <c:axId val="232260096"/>
        <c:axId val="324737216"/>
      </c:barChart>
      <c:catAx>
        <c:axId val="232260096"/>
        <c:scaling>
          <c:orientation val="minMax"/>
        </c:scaling>
        <c:delete val="0"/>
        <c:axPos val="b"/>
        <c:numFmt formatCode="General" sourceLinked="0"/>
        <c:majorTickMark val="none"/>
        <c:minorTickMark val="none"/>
        <c:tickLblPos val="nextTo"/>
        <c:crossAx val="324737216"/>
        <c:crosses val="autoZero"/>
        <c:auto val="1"/>
        <c:lblAlgn val="ctr"/>
        <c:lblOffset val="100"/>
        <c:noMultiLvlLbl val="0"/>
      </c:catAx>
      <c:valAx>
        <c:axId val="324737216"/>
        <c:scaling>
          <c:orientation val="minMax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pt-BR"/>
                  <a:t>Relative contributions</a:t>
                </a:r>
              </a:p>
            </c:rich>
          </c:tx>
          <c:layout>
            <c:manualLayout>
              <c:xMode val="edge"/>
              <c:yMode val="edge"/>
              <c:x val="1.8570283292224328E-2"/>
              <c:y val="0.1445083933948674"/>
            </c:manualLayout>
          </c:layout>
          <c:overlay val="0"/>
        </c:title>
        <c:numFmt formatCode="0%" sourceLinked="1"/>
        <c:majorTickMark val="none"/>
        <c:minorTickMark val="none"/>
        <c:tickLblPos val="nextTo"/>
        <c:crossAx val="232260096"/>
        <c:crosses val="autoZero"/>
        <c:crossBetween val="between"/>
        <c:majorUnit val="0.2"/>
      </c:valAx>
    </c:plotArea>
    <c:legend>
      <c:legendPos val="b"/>
      <c:layout>
        <c:manualLayout>
          <c:xMode val="edge"/>
          <c:yMode val="edge"/>
          <c:x val="0.20070353633951768"/>
          <c:y val="0.87471587592549005"/>
          <c:w val="0.70664208503811032"/>
          <c:h val="9.4070926052984657E-2"/>
        </c:manualLayout>
      </c:layout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es-ES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4"/>
    </mc:Choice>
    <mc:Fallback>
      <c:style val="4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331645674468207"/>
          <c:y val="4.214129483814541E-2"/>
          <c:w val="0.86683543255318185"/>
          <c:h val="0.65678269521481725"/>
        </c:manualLayout>
      </c:layout>
      <c:barChart>
        <c:barDir val="col"/>
        <c:grouping val="percentStacked"/>
        <c:varyColors val="0"/>
        <c:ser>
          <c:idx val="0"/>
          <c:order val="0"/>
          <c:tx>
            <c:strRef>
              <c:f>'Forest managment'!$D$21</c:f>
              <c:strCache>
                <c:ptCount val="1"/>
                <c:pt idx="0">
                  <c:v>Pest control</c:v>
                </c:pt>
              </c:strCache>
            </c:strRef>
          </c:tx>
          <c:invertIfNegative val="0"/>
          <c:cat>
            <c:strRef>
              <c:f>'Forest managment'!$C$22:$C$33</c:f>
              <c:strCache>
                <c:ptCount val="12"/>
                <c:pt idx="0">
                  <c:v>CC</c:v>
                </c:pt>
                <c:pt idx="1">
                  <c:v>OD</c:v>
                </c:pt>
                <c:pt idx="2">
                  <c:v>TA</c:v>
                </c:pt>
                <c:pt idx="3">
                  <c:v>FE</c:v>
                </c:pt>
                <c:pt idx="4">
                  <c:v>ME</c:v>
                </c:pt>
                <c:pt idx="5">
                  <c:v>HT</c:v>
                </c:pt>
                <c:pt idx="6">
                  <c:v>POF</c:v>
                </c:pt>
                <c:pt idx="7">
                  <c:v>TET</c:v>
                </c:pt>
                <c:pt idx="8">
                  <c:v>FET</c:v>
                </c:pt>
                <c:pt idx="9">
                  <c:v>MET</c:v>
                </c:pt>
                <c:pt idx="10">
                  <c:v>WD</c:v>
                </c:pt>
                <c:pt idx="11">
                  <c:v>FD</c:v>
                </c:pt>
              </c:strCache>
            </c:strRef>
          </c:cat>
          <c:val>
            <c:numRef>
              <c:f>'Forest managment'!$D$22:$D$33</c:f>
              <c:numCache>
                <c:formatCode>General</c:formatCode>
                <c:ptCount val="12"/>
                <c:pt idx="0">
                  <c:v>0.34133196757663747</c:v>
                </c:pt>
                <c:pt idx="1">
                  <c:v>4.7236256129503254E-8</c:v>
                </c:pt>
                <c:pt idx="2">
                  <c:v>1.8574619825733176E-3</c:v>
                </c:pt>
                <c:pt idx="3">
                  <c:v>1.1282124855547901E-4</c:v>
                </c:pt>
                <c:pt idx="4">
                  <c:v>1.0432634282707594E-4</c:v>
                </c:pt>
                <c:pt idx="5">
                  <c:v>0.1639112739972135</c:v>
                </c:pt>
                <c:pt idx="6">
                  <c:v>2.8935290551889109E-3</c:v>
                </c:pt>
                <c:pt idx="7">
                  <c:v>4.1007945018984753E-5</c:v>
                </c:pt>
                <c:pt idx="8">
                  <c:v>3.7270861460433889E-3</c:v>
                </c:pt>
                <c:pt idx="9">
                  <c:v>3.8498481614429279E-3</c:v>
                </c:pt>
                <c:pt idx="10">
                  <c:v>1.9113802640518287</c:v>
                </c:pt>
                <c:pt idx="11">
                  <c:v>0.12112317835417347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D40-43C2-9399-AC9760B3BB6B}"/>
            </c:ext>
          </c:extLst>
        </c:ser>
        <c:ser>
          <c:idx val="1"/>
          <c:order val="1"/>
          <c:tx>
            <c:strRef>
              <c:f>'Forest managment'!$E$21</c:f>
              <c:strCache>
                <c:ptCount val="1"/>
                <c:pt idx="0">
                  <c:v>Chemical weeding</c:v>
                </c:pt>
              </c:strCache>
            </c:strRef>
          </c:tx>
          <c:invertIfNegative val="0"/>
          <c:cat>
            <c:strRef>
              <c:f>'Forest managment'!$C$22:$C$33</c:f>
              <c:strCache>
                <c:ptCount val="12"/>
                <c:pt idx="0">
                  <c:v>CC</c:v>
                </c:pt>
                <c:pt idx="1">
                  <c:v>OD</c:v>
                </c:pt>
                <c:pt idx="2">
                  <c:v>TA</c:v>
                </c:pt>
                <c:pt idx="3">
                  <c:v>FE</c:v>
                </c:pt>
                <c:pt idx="4">
                  <c:v>ME</c:v>
                </c:pt>
                <c:pt idx="5">
                  <c:v>HT</c:v>
                </c:pt>
                <c:pt idx="6">
                  <c:v>POF</c:v>
                </c:pt>
                <c:pt idx="7">
                  <c:v>TET</c:v>
                </c:pt>
                <c:pt idx="8">
                  <c:v>FET</c:v>
                </c:pt>
                <c:pt idx="9">
                  <c:v>MET</c:v>
                </c:pt>
                <c:pt idx="10">
                  <c:v>WD</c:v>
                </c:pt>
                <c:pt idx="11">
                  <c:v>FD</c:v>
                </c:pt>
              </c:strCache>
            </c:strRef>
          </c:cat>
          <c:val>
            <c:numRef>
              <c:f>'Forest managment'!$E$22:$E$33</c:f>
              <c:numCache>
                <c:formatCode>General</c:formatCode>
                <c:ptCount val="12"/>
                <c:pt idx="0">
                  <c:v>0.74436446246551369</c:v>
                </c:pt>
                <c:pt idx="1">
                  <c:v>1.2420752904638692E-7</c:v>
                </c:pt>
                <c:pt idx="2">
                  <c:v>4.1088601372029762E-3</c:v>
                </c:pt>
                <c:pt idx="3">
                  <c:v>5.0355794155124427E-4</c:v>
                </c:pt>
                <c:pt idx="4">
                  <c:v>2.4925877697768112E-4</c:v>
                </c:pt>
                <c:pt idx="5">
                  <c:v>0.36519410342320657</c:v>
                </c:pt>
                <c:pt idx="6">
                  <c:v>4.9415797468214864E-3</c:v>
                </c:pt>
                <c:pt idx="7">
                  <c:v>1.6775005447242046E-4</c:v>
                </c:pt>
                <c:pt idx="8">
                  <c:v>9.9021273669334872E-3</c:v>
                </c:pt>
                <c:pt idx="9">
                  <c:v>9.7004654571922408E-3</c:v>
                </c:pt>
                <c:pt idx="10">
                  <c:v>3.2497534637985246</c:v>
                </c:pt>
                <c:pt idx="11">
                  <c:v>0.25540145935268233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5D40-43C2-9399-AC9760B3BB6B}"/>
            </c:ext>
          </c:extLst>
        </c:ser>
        <c:ser>
          <c:idx val="2"/>
          <c:order val="2"/>
          <c:tx>
            <c:strRef>
              <c:f>'Forest managment'!$F$21</c:f>
              <c:strCache>
                <c:ptCount val="1"/>
                <c:pt idx="0">
                  <c:v>Mineral fertilization</c:v>
                </c:pt>
              </c:strCache>
            </c:strRef>
          </c:tx>
          <c:invertIfNegative val="0"/>
          <c:cat>
            <c:strRef>
              <c:f>'Forest managment'!$C$22:$C$33</c:f>
              <c:strCache>
                <c:ptCount val="12"/>
                <c:pt idx="0">
                  <c:v>CC</c:v>
                </c:pt>
                <c:pt idx="1">
                  <c:v>OD</c:v>
                </c:pt>
                <c:pt idx="2">
                  <c:v>TA</c:v>
                </c:pt>
                <c:pt idx="3">
                  <c:v>FE</c:v>
                </c:pt>
                <c:pt idx="4">
                  <c:v>ME</c:v>
                </c:pt>
                <c:pt idx="5">
                  <c:v>HT</c:v>
                </c:pt>
                <c:pt idx="6">
                  <c:v>POF</c:v>
                </c:pt>
                <c:pt idx="7">
                  <c:v>TET</c:v>
                </c:pt>
                <c:pt idx="8">
                  <c:v>FET</c:v>
                </c:pt>
                <c:pt idx="9">
                  <c:v>MET</c:v>
                </c:pt>
                <c:pt idx="10">
                  <c:v>WD</c:v>
                </c:pt>
                <c:pt idx="11">
                  <c:v>FD</c:v>
                </c:pt>
              </c:strCache>
            </c:strRef>
          </c:cat>
          <c:val>
            <c:numRef>
              <c:f>'Forest managment'!$F$22:$F$33</c:f>
              <c:numCache>
                <c:formatCode>General</c:formatCode>
                <c:ptCount val="12"/>
                <c:pt idx="0">
                  <c:v>0.4422512724608797</c:v>
                </c:pt>
                <c:pt idx="1">
                  <c:v>6.0532150561490455E-8</c:v>
                </c:pt>
                <c:pt idx="2">
                  <c:v>2.5379921287527014E-3</c:v>
                </c:pt>
                <c:pt idx="3">
                  <c:v>1.1356489460146886E-4</c:v>
                </c:pt>
                <c:pt idx="4">
                  <c:v>1.299105187006148E-4</c:v>
                </c:pt>
                <c:pt idx="5">
                  <c:v>0.18901318125072286</c:v>
                </c:pt>
                <c:pt idx="6">
                  <c:v>3.1162288611980048E-3</c:v>
                </c:pt>
                <c:pt idx="7">
                  <c:v>8.8055593156154764E-5</c:v>
                </c:pt>
                <c:pt idx="8">
                  <c:v>5.0561372414977251E-3</c:v>
                </c:pt>
                <c:pt idx="9">
                  <c:v>5.2321416850780707E-3</c:v>
                </c:pt>
                <c:pt idx="10">
                  <c:v>3.0856053868041782</c:v>
                </c:pt>
                <c:pt idx="11">
                  <c:v>0.15499349366966564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5D40-43C2-9399-AC9760B3BB6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75"/>
        <c:overlap val="100"/>
        <c:axId val="232260608"/>
        <c:axId val="152616960"/>
      </c:barChart>
      <c:catAx>
        <c:axId val="232260608"/>
        <c:scaling>
          <c:orientation val="minMax"/>
        </c:scaling>
        <c:delete val="0"/>
        <c:axPos val="b"/>
        <c:numFmt formatCode="General" sourceLinked="0"/>
        <c:majorTickMark val="none"/>
        <c:minorTickMark val="none"/>
        <c:tickLblPos val="nextTo"/>
        <c:crossAx val="152616960"/>
        <c:crosses val="autoZero"/>
        <c:auto val="1"/>
        <c:lblAlgn val="ctr"/>
        <c:lblOffset val="100"/>
        <c:noMultiLvlLbl val="0"/>
      </c:catAx>
      <c:valAx>
        <c:axId val="152616960"/>
        <c:scaling>
          <c:orientation val="minMax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pt-BR"/>
                  <a:t>Relative contributions</a:t>
                </a:r>
              </a:p>
            </c:rich>
          </c:tx>
          <c:layout>
            <c:manualLayout>
              <c:xMode val="edge"/>
              <c:yMode val="edge"/>
              <c:x val="1.7094017094017103E-2"/>
              <c:y val="0.17249708369787162"/>
            </c:manualLayout>
          </c:layout>
          <c:overlay val="0"/>
        </c:title>
        <c:numFmt formatCode="0%" sourceLinked="1"/>
        <c:majorTickMark val="none"/>
        <c:minorTickMark val="none"/>
        <c:tickLblPos val="nextTo"/>
        <c:crossAx val="232260608"/>
        <c:crosses val="autoZero"/>
        <c:crossBetween val="between"/>
        <c:majorUnit val="0.2"/>
        <c:minorUnit val="2.0000000000000011E-2"/>
      </c:valAx>
    </c:plotArea>
    <c:legend>
      <c:legendPos val="b"/>
      <c:layout>
        <c:manualLayout>
          <c:xMode val="edge"/>
          <c:yMode val="edge"/>
          <c:x val="3.070609449712295E-2"/>
          <c:y val="0.83759610703930854"/>
          <c:w val="0.95116163604549608"/>
          <c:h val="8.3717191601050026E-2"/>
        </c:manualLayout>
      </c:layout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es-ES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5"/>
    </mc:Choice>
    <mc:Fallback>
      <c:style val="5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0915179246446126"/>
          <c:y val="5.1400554097404488E-2"/>
          <c:w val="0.83858980234156766"/>
          <c:h val="0.6825275830399965"/>
        </c:manualLayout>
      </c:layout>
      <c:barChart>
        <c:barDir val="col"/>
        <c:grouping val="percentStacked"/>
        <c:varyColors val="0"/>
        <c:ser>
          <c:idx val="0"/>
          <c:order val="0"/>
          <c:tx>
            <c:strRef>
              <c:f>Hasrvesting!$D$7</c:f>
              <c:strCache>
                <c:ptCount val="1"/>
                <c:pt idx="0">
                  <c:v>Harvesting </c:v>
                </c:pt>
              </c:strCache>
            </c:strRef>
          </c:tx>
          <c:invertIfNegative val="0"/>
          <c:cat>
            <c:strRef>
              <c:f>Hasrvesting!$C$8:$C$19</c:f>
              <c:strCache>
                <c:ptCount val="12"/>
                <c:pt idx="0">
                  <c:v>CC</c:v>
                </c:pt>
                <c:pt idx="1">
                  <c:v>OD</c:v>
                </c:pt>
                <c:pt idx="2">
                  <c:v>TA</c:v>
                </c:pt>
                <c:pt idx="3">
                  <c:v>FE</c:v>
                </c:pt>
                <c:pt idx="4">
                  <c:v>ME</c:v>
                </c:pt>
                <c:pt idx="5">
                  <c:v>HT</c:v>
                </c:pt>
                <c:pt idx="6">
                  <c:v>POF</c:v>
                </c:pt>
                <c:pt idx="7">
                  <c:v>TET</c:v>
                </c:pt>
                <c:pt idx="8">
                  <c:v>FET</c:v>
                </c:pt>
                <c:pt idx="9">
                  <c:v>MET</c:v>
                </c:pt>
                <c:pt idx="10">
                  <c:v>WD</c:v>
                </c:pt>
                <c:pt idx="11">
                  <c:v>FD</c:v>
                </c:pt>
              </c:strCache>
            </c:strRef>
          </c:cat>
          <c:val>
            <c:numRef>
              <c:f>Hasrvesting!$D$8:$D$19</c:f>
              <c:numCache>
                <c:formatCode>General</c:formatCode>
                <c:ptCount val="12"/>
                <c:pt idx="0">
                  <c:v>2.7503246845831599</c:v>
                </c:pt>
                <c:pt idx="1">
                  <c:v>3.9585997739152046E-7</c:v>
                </c:pt>
                <c:pt idx="2">
                  <c:v>2.3461663389338389E-2</c:v>
                </c:pt>
                <c:pt idx="3">
                  <c:v>1.8553571785395417E-4</c:v>
                </c:pt>
                <c:pt idx="4">
                  <c:v>1.4518530175467101E-3</c:v>
                </c:pt>
                <c:pt idx="5">
                  <c:v>0.3257023903877494</c:v>
                </c:pt>
                <c:pt idx="6">
                  <c:v>4.1440223331267186E-2</c:v>
                </c:pt>
                <c:pt idx="7">
                  <c:v>2.0302099101605106E-4</c:v>
                </c:pt>
                <c:pt idx="8">
                  <c:v>6.3804213031185353E-3</c:v>
                </c:pt>
                <c:pt idx="9">
                  <c:v>6.9932298523815856E-3</c:v>
                </c:pt>
                <c:pt idx="10">
                  <c:v>6.3283237482971604</c:v>
                </c:pt>
                <c:pt idx="11">
                  <c:v>0.87245372146705469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109-4596-B93C-37283CC3D300}"/>
            </c:ext>
          </c:extLst>
        </c:ser>
        <c:ser>
          <c:idx val="1"/>
          <c:order val="1"/>
          <c:tx>
            <c:strRef>
              <c:f>Hasrvesting!$E$7</c:f>
              <c:strCache>
                <c:ptCount val="1"/>
                <c:pt idx="0">
                  <c:v>Loading</c:v>
                </c:pt>
              </c:strCache>
            </c:strRef>
          </c:tx>
          <c:invertIfNegative val="0"/>
          <c:cat>
            <c:strRef>
              <c:f>Hasrvesting!$C$8:$C$19</c:f>
              <c:strCache>
                <c:ptCount val="12"/>
                <c:pt idx="0">
                  <c:v>CC</c:v>
                </c:pt>
                <c:pt idx="1">
                  <c:v>OD</c:v>
                </c:pt>
                <c:pt idx="2">
                  <c:v>TA</c:v>
                </c:pt>
                <c:pt idx="3">
                  <c:v>FE</c:v>
                </c:pt>
                <c:pt idx="4">
                  <c:v>ME</c:v>
                </c:pt>
                <c:pt idx="5">
                  <c:v>HT</c:v>
                </c:pt>
                <c:pt idx="6">
                  <c:v>POF</c:v>
                </c:pt>
                <c:pt idx="7">
                  <c:v>TET</c:v>
                </c:pt>
                <c:pt idx="8">
                  <c:v>FET</c:v>
                </c:pt>
                <c:pt idx="9">
                  <c:v>MET</c:v>
                </c:pt>
                <c:pt idx="10">
                  <c:v>WD</c:v>
                </c:pt>
                <c:pt idx="11">
                  <c:v>FD</c:v>
                </c:pt>
              </c:strCache>
            </c:strRef>
          </c:cat>
          <c:val>
            <c:numRef>
              <c:f>Hasrvesting!$E$8:$E$19</c:f>
              <c:numCache>
                <c:formatCode>General</c:formatCode>
                <c:ptCount val="12"/>
                <c:pt idx="0">
                  <c:v>0.83058728437913698</c:v>
                </c:pt>
                <c:pt idx="1">
                  <c:v>1.4643238497103716E-7</c:v>
                </c:pt>
                <c:pt idx="2">
                  <c:v>7.2345294226592843E-3</c:v>
                </c:pt>
                <c:pt idx="3">
                  <c:v>6.3102444594107643E-5</c:v>
                </c:pt>
                <c:pt idx="4">
                  <c:v>4.32047478362559E-4</c:v>
                </c:pt>
                <c:pt idx="5">
                  <c:v>0.12495359977103404</c:v>
                </c:pt>
                <c:pt idx="6">
                  <c:v>1.2261129143777713E-2</c:v>
                </c:pt>
                <c:pt idx="7">
                  <c:v>1.0460634733887012E-4</c:v>
                </c:pt>
                <c:pt idx="8">
                  <c:v>2.3268628252236289E-3</c:v>
                </c:pt>
                <c:pt idx="9">
                  <c:v>2.3845444097691099E-3</c:v>
                </c:pt>
                <c:pt idx="10">
                  <c:v>1.4785492639678499</c:v>
                </c:pt>
                <c:pt idx="11">
                  <c:v>0.29019507652951793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109-4596-B93C-37283CC3D300}"/>
            </c:ext>
          </c:extLst>
        </c:ser>
        <c:ser>
          <c:idx val="2"/>
          <c:order val="2"/>
          <c:tx>
            <c:strRef>
              <c:f>Hasrvesting!$F$7</c:f>
              <c:strCache>
                <c:ptCount val="1"/>
                <c:pt idx="0">
                  <c:v>Extraction</c:v>
                </c:pt>
              </c:strCache>
            </c:strRef>
          </c:tx>
          <c:invertIfNegative val="0"/>
          <c:cat>
            <c:strRef>
              <c:f>Hasrvesting!$C$8:$C$19</c:f>
              <c:strCache>
                <c:ptCount val="12"/>
                <c:pt idx="0">
                  <c:v>CC</c:v>
                </c:pt>
                <c:pt idx="1">
                  <c:v>OD</c:v>
                </c:pt>
                <c:pt idx="2">
                  <c:v>TA</c:v>
                </c:pt>
                <c:pt idx="3">
                  <c:v>FE</c:v>
                </c:pt>
                <c:pt idx="4">
                  <c:v>ME</c:v>
                </c:pt>
                <c:pt idx="5">
                  <c:v>HT</c:v>
                </c:pt>
                <c:pt idx="6">
                  <c:v>POF</c:v>
                </c:pt>
                <c:pt idx="7">
                  <c:v>TET</c:v>
                </c:pt>
                <c:pt idx="8">
                  <c:v>FET</c:v>
                </c:pt>
                <c:pt idx="9">
                  <c:v>MET</c:v>
                </c:pt>
                <c:pt idx="10">
                  <c:v>WD</c:v>
                </c:pt>
                <c:pt idx="11">
                  <c:v>FD</c:v>
                </c:pt>
              </c:strCache>
            </c:strRef>
          </c:cat>
          <c:val>
            <c:numRef>
              <c:f>Hasrvesting!$F$8:$F$19</c:f>
              <c:numCache>
                <c:formatCode>General</c:formatCode>
                <c:ptCount val="12"/>
                <c:pt idx="0">
                  <c:v>1.7040234298699799</c:v>
                </c:pt>
                <c:pt idx="1">
                  <c:v>2.8364938385667024E-7</c:v>
                </c:pt>
                <c:pt idx="2">
                  <c:v>1.3864743120133499E-2</c:v>
                </c:pt>
                <c:pt idx="3">
                  <c:v>1.9171544709659915E-4</c:v>
                </c:pt>
                <c:pt idx="4">
                  <c:v>8.2305698531933856E-4</c:v>
                </c:pt>
                <c:pt idx="5">
                  <c:v>0.34667242512728136</c:v>
                </c:pt>
                <c:pt idx="6">
                  <c:v>2.3297824638571198E-2</c:v>
                </c:pt>
                <c:pt idx="7">
                  <c:v>2.0205195996839717E-4</c:v>
                </c:pt>
                <c:pt idx="8">
                  <c:v>6.8633817472704096E-3</c:v>
                </c:pt>
                <c:pt idx="9">
                  <c:v>7.0064772460670804E-3</c:v>
                </c:pt>
                <c:pt idx="10">
                  <c:v>4.3915822136111897</c:v>
                </c:pt>
                <c:pt idx="11">
                  <c:v>0.57825576157785197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8109-4596-B93C-37283CC3D30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75"/>
        <c:overlap val="100"/>
        <c:axId val="152801792"/>
        <c:axId val="152618688"/>
      </c:barChart>
      <c:catAx>
        <c:axId val="15280179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crossAx val="152618688"/>
        <c:crosses val="autoZero"/>
        <c:auto val="1"/>
        <c:lblAlgn val="ctr"/>
        <c:lblOffset val="100"/>
        <c:noMultiLvlLbl val="0"/>
      </c:catAx>
      <c:valAx>
        <c:axId val="152618688"/>
        <c:scaling>
          <c:orientation val="minMax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pt-BR"/>
                  <a:t>Relative contributions</a:t>
                </a:r>
              </a:p>
            </c:rich>
          </c:tx>
          <c:overlay val="0"/>
        </c:title>
        <c:numFmt formatCode="0%" sourceLinked="1"/>
        <c:majorTickMark val="none"/>
        <c:minorTickMark val="none"/>
        <c:tickLblPos val="nextTo"/>
        <c:crossAx val="152801792"/>
        <c:crosses val="autoZero"/>
        <c:crossBetween val="between"/>
        <c:majorUnit val="0.2"/>
      </c:valAx>
    </c:plotArea>
    <c:legend>
      <c:legendPos val="b"/>
      <c:layout>
        <c:manualLayout>
          <c:xMode val="edge"/>
          <c:yMode val="edge"/>
          <c:x val="6.1698273766107467E-2"/>
          <c:y val="0.86738966677061269"/>
          <c:w val="0.87403031039792523"/>
          <c:h val="8.3717191601050026E-2"/>
        </c:manualLayout>
      </c:layout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es-ES"/>
    </a:p>
  </c:txPr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8"/>
    </mc:Choice>
    <mc:Fallback>
      <c:style val="8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3029317610827459"/>
          <c:y val="5.4624943099824699E-2"/>
          <c:w val="0.8697068238917256"/>
          <c:h val="0.67978129953132604"/>
        </c:manualLayout>
      </c:layout>
      <c:barChart>
        <c:barDir val="col"/>
        <c:grouping val="percentStacked"/>
        <c:varyColors val="0"/>
        <c:ser>
          <c:idx val="0"/>
          <c:order val="0"/>
          <c:tx>
            <c:strRef>
              <c:f>infrastructure!$D$7</c:f>
              <c:strCache>
                <c:ptCount val="1"/>
                <c:pt idx="0">
                  <c:v>Road building </c:v>
                </c:pt>
              </c:strCache>
            </c:strRef>
          </c:tx>
          <c:invertIfNegative val="0"/>
          <c:cat>
            <c:strRef>
              <c:f>infrastructure!$C$8:$C$19</c:f>
              <c:strCache>
                <c:ptCount val="12"/>
                <c:pt idx="0">
                  <c:v>CC</c:v>
                </c:pt>
                <c:pt idx="1">
                  <c:v>OD</c:v>
                </c:pt>
                <c:pt idx="2">
                  <c:v>TA</c:v>
                </c:pt>
                <c:pt idx="3">
                  <c:v>FE</c:v>
                </c:pt>
                <c:pt idx="4">
                  <c:v>ME</c:v>
                </c:pt>
                <c:pt idx="5">
                  <c:v>HT</c:v>
                </c:pt>
                <c:pt idx="6">
                  <c:v>POF</c:v>
                </c:pt>
                <c:pt idx="7">
                  <c:v>TET</c:v>
                </c:pt>
                <c:pt idx="8">
                  <c:v>FET</c:v>
                </c:pt>
                <c:pt idx="9">
                  <c:v>MET</c:v>
                </c:pt>
                <c:pt idx="10">
                  <c:v>WD</c:v>
                </c:pt>
                <c:pt idx="11">
                  <c:v>FD</c:v>
                </c:pt>
              </c:strCache>
            </c:strRef>
          </c:cat>
          <c:val>
            <c:numRef>
              <c:f>infrastructure!$D$8:$D$19</c:f>
              <c:numCache>
                <c:formatCode>General</c:formatCode>
                <c:ptCount val="12"/>
                <c:pt idx="0">
                  <c:v>9.5588290513101762E-2</c:v>
                </c:pt>
                <c:pt idx="1">
                  <c:v>1.2611875254794817E-8</c:v>
                </c:pt>
                <c:pt idx="2">
                  <c:v>4.9282714600618744E-4</c:v>
                </c:pt>
                <c:pt idx="3">
                  <c:v>3.1604352065010437E-5</c:v>
                </c:pt>
                <c:pt idx="4">
                  <c:v>2.7647029914572028E-5</c:v>
                </c:pt>
                <c:pt idx="5">
                  <c:v>4.079836993890093E-2</c:v>
                </c:pt>
                <c:pt idx="6">
                  <c:v>7.467023729950576E-4</c:v>
                </c:pt>
                <c:pt idx="7">
                  <c:v>6.0262118305143954E-6</c:v>
                </c:pt>
                <c:pt idx="8">
                  <c:v>1.1164790351063407E-3</c:v>
                </c:pt>
                <c:pt idx="9">
                  <c:v>1.1484788497628513E-3</c:v>
                </c:pt>
                <c:pt idx="10">
                  <c:v>0.51779103887563005</c:v>
                </c:pt>
                <c:pt idx="11">
                  <c:v>3.3244364076458102E-2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7C5-43DE-B838-4465D72E1166}"/>
            </c:ext>
          </c:extLst>
        </c:ser>
        <c:ser>
          <c:idx val="1"/>
          <c:order val="1"/>
          <c:tx>
            <c:strRef>
              <c:f>infrastructure!$E$7</c:f>
              <c:strCache>
                <c:ptCount val="1"/>
                <c:pt idx="0">
                  <c:v>Road maintenence</c:v>
                </c:pt>
              </c:strCache>
            </c:strRef>
          </c:tx>
          <c:invertIfNegative val="0"/>
          <c:cat>
            <c:strRef>
              <c:f>infrastructure!$C$8:$C$19</c:f>
              <c:strCache>
                <c:ptCount val="12"/>
                <c:pt idx="0">
                  <c:v>CC</c:v>
                </c:pt>
                <c:pt idx="1">
                  <c:v>OD</c:v>
                </c:pt>
                <c:pt idx="2">
                  <c:v>TA</c:v>
                </c:pt>
                <c:pt idx="3">
                  <c:v>FE</c:v>
                </c:pt>
                <c:pt idx="4">
                  <c:v>ME</c:v>
                </c:pt>
                <c:pt idx="5">
                  <c:v>HT</c:v>
                </c:pt>
                <c:pt idx="6">
                  <c:v>POF</c:v>
                </c:pt>
                <c:pt idx="7">
                  <c:v>TET</c:v>
                </c:pt>
                <c:pt idx="8">
                  <c:v>FET</c:v>
                </c:pt>
                <c:pt idx="9">
                  <c:v>MET</c:v>
                </c:pt>
                <c:pt idx="10">
                  <c:v>WD</c:v>
                </c:pt>
                <c:pt idx="11">
                  <c:v>FD</c:v>
                </c:pt>
              </c:strCache>
            </c:strRef>
          </c:cat>
          <c:val>
            <c:numRef>
              <c:f>infrastructure!$E$8:$E$19</c:f>
              <c:numCache>
                <c:formatCode>General</c:formatCode>
                <c:ptCount val="12"/>
                <c:pt idx="0">
                  <c:v>0.11796712545097907</c:v>
                </c:pt>
                <c:pt idx="1">
                  <c:v>1.6772282169633919E-8</c:v>
                </c:pt>
                <c:pt idx="2">
                  <c:v>6.3245810568300566E-4</c:v>
                </c:pt>
                <c:pt idx="3">
                  <c:v>3.7556556721464919E-5</c:v>
                </c:pt>
                <c:pt idx="4">
                  <c:v>3.5497222313446626E-5</c:v>
                </c:pt>
                <c:pt idx="5">
                  <c:v>5.1946723149169802E-2</c:v>
                </c:pt>
                <c:pt idx="6">
                  <c:v>9.5666647980150886E-4</c:v>
                </c:pt>
                <c:pt idx="7">
                  <c:v>6.897024503118083E-6</c:v>
                </c:pt>
                <c:pt idx="8">
                  <c:v>1.2188858169867119E-3</c:v>
                </c:pt>
                <c:pt idx="9">
                  <c:v>1.2552905334722601E-3</c:v>
                </c:pt>
                <c:pt idx="10">
                  <c:v>0.64119285416018479</c:v>
                </c:pt>
                <c:pt idx="11">
                  <c:v>4.2238211775941628E-2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97C5-43DE-B838-4465D72E116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75"/>
        <c:overlap val="100"/>
        <c:axId val="232259072"/>
        <c:axId val="152620416"/>
      </c:barChart>
      <c:catAx>
        <c:axId val="232259072"/>
        <c:scaling>
          <c:orientation val="minMax"/>
        </c:scaling>
        <c:delete val="0"/>
        <c:axPos val="b"/>
        <c:numFmt formatCode="General" sourceLinked="0"/>
        <c:majorTickMark val="none"/>
        <c:minorTickMark val="none"/>
        <c:tickLblPos val="nextTo"/>
        <c:crossAx val="152620416"/>
        <c:crosses val="autoZero"/>
        <c:auto val="1"/>
        <c:lblAlgn val="ctr"/>
        <c:lblOffset val="100"/>
        <c:noMultiLvlLbl val="0"/>
      </c:catAx>
      <c:valAx>
        <c:axId val="152620416"/>
        <c:scaling>
          <c:orientation val="minMax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pt-BR"/>
                  <a:t>Relative contribution</a:t>
                </a:r>
              </a:p>
            </c:rich>
          </c:tx>
          <c:layout>
            <c:manualLayout>
              <c:xMode val="edge"/>
              <c:yMode val="edge"/>
              <c:x val="1.584192557922574E-2"/>
              <c:y val="0.19761048319144658"/>
            </c:manualLayout>
          </c:layout>
          <c:overlay val="0"/>
        </c:title>
        <c:numFmt formatCode="0%" sourceLinked="1"/>
        <c:majorTickMark val="none"/>
        <c:minorTickMark val="none"/>
        <c:tickLblPos val="nextTo"/>
        <c:crossAx val="232259072"/>
        <c:crosses val="autoZero"/>
        <c:crossBetween val="between"/>
        <c:majorUnit val="0.2"/>
      </c:valAx>
    </c:plotArea>
    <c:legend>
      <c:legendPos val="b"/>
      <c:layout>
        <c:manualLayout>
          <c:xMode val="edge"/>
          <c:yMode val="edge"/>
          <c:x val="0.23965988626421697"/>
          <c:y val="0.9110311764534984"/>
          <c:w val="0.52068000874890641"/>
          <c:h val="8.8968823546503359E-2"/>
        </c:manualLayout>
      </c:layout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es-ES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58B756-6ED9-4FE7-B4E3-78233AD2C4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446</Words>
  <Characters>2457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Bia Ferro</dc:creator>
  <cp:lastModifiedBy>asistente-curso</cp:lastModifiedBy>
  <cp:revision>2</cp:revision>
  <dcterms:created xsi:type="dcterms:W3CDTF">2018-10-15T11:05:00Z</dcterms:created>
  <dcterms:modified xsi:type="dcterms:W3CDTF">2018-10-15T11:05:00Z</dcterms:modified>
</cp:coreProperties>
</file>