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DF37EE7" w14:textId="00F4B57F" w:rsidR="00DC71B4" w:rsidRPr="00DC71B4" w:rsidRDefault="00DC71B4" w:rsidP="00DC71B4">
      <w:pPr>
        <w:pStyle w:val="NormalWeb"/>
        <w:rPr>
          <w:rFonts w:ascii="Times New Roman" w:eastAsia="Times New Roman" w:hAnsi="Times New Roman"/>
          <w:b/>
          <w:bCs/>
          <w:color w:val="1C1D1E"/>
          <w:shd w:val="clear" w:color="auto" w:fill="FFFFFF"/>
          <w:lang w:val="en-GB"/>
        </w:rPr>
      </w:pPr>
      <w:r w:rsidRPr="00DC71B4">
        <w:rPr>
          <w:rFonts w:ascii="Open Sans" w:hAnsi="Open Sans" w:cs="Open Sans"/>
          <w:b/>
          <w:bCs/>
          <w:color w:val="1C1D1E"/>
          <w:lang w:val="en-US"/>
        </w:rPr>
        <w:t xml:space="preserve">This is the peer reviewed version of the following article: </w:t>
      </w:r>
      <w:r w:rsidRPr="00DC71B4">
        <w:rPr>
          <w:rFonts w:ascii="Open Sans" w:hAnsi="Open Sans" w:cs="Open Sans" w:hint="eastAsia"/>
          <w:b/>
          <w:bCs/>
          <w:color w:val="1C1D1E"/>
          <w:lang w:val="en-US"/>
        </w:rPr>
        <w:t>Facal, D., Valladares</w:t>
      </w:r>
      <w:r w:rsidRPr="00DC71B4">
        <w:rPr>
          <w:rFonts w:ascii="Open Sans" w:hAnsi="Open Sans" w:cs="Open Sans" w:hint="eastAsia"/>
          <w:b/>
          <w:bCs/>
          <w:color w:val="1C1D1E"/>
          <w:lang w:val="en-US"/>
        </w:rPr>
        <w:t>‐</w:t>
      </w:r>
      <w:r w:rsidRPr="00DC71B4">
        <w:rPr>
          <w:rFonts w:ascii="Open Sans" w:hAnsi="Open Sans" w:cs="Open Sans" w:hint="eastAsia"/>
          <w:b/>
          <w:bCs/>
          <w:color w:val="1C1D1E"/>
          <w:lang w:val="en-US"/>
        </w:rPr>
        <w:t>Rodriguez, S., Lojo</w:t>
      </w:r>
      <w:r w:rsidRPr="00DC71B4">
        <w:rPr>
          <w:rFonts w:ascii="Open Sans" w:hAnsi="Open Sans" w:cs="Open Sans" w:hint="eastAsia"/>
          <w:b/>
          <w:bCs/>
          <w:color w:val="1C1D1E"/>
          <w:lang w:val="en-US"/>
        </w:rPr>
        <w:t>‐</w:t>
      </w:r>
      <w:r w:rsidRPr="00DC71B4">
        <w:rPr>
          <w:rFonts w:ascii="Open Sans" w:hAnsi="Open Sans" w:cs="Open Sans" w:hint="eastAsia"/>
          <w:b/>
          <w:bCs/>
          <w:color w:val="1C1D1E"/>
          <w:lang w:val="en-US"/>
        </w:rPr>
        <w:t>Seoane, C., Pereiro, A. X., Anido</w:t>
      </w:r>
      <w:r w:rsidRPr="00DC71B4">
        <w:rPr>
          <w:rFonts w:ascii="Open Sans" w:hAnsi="Open Sans" w:cs="Open Sans" w:hint="eastAsia"/>
          <w:b/>
          <w:bCs/>
          <w:color w:val="1C1D1E"/>
          <w:lang w:val="en-US"/>
        </w:rPr>
        <w:t>‐</w:t>
      </w:r>
      <w:r w:rsidRPr="00DC71B4">
        <w:rPr>
          <w:rFonts w:ascii="Open Sans" w:hAnsi="Open Sans" w:cs="Open Sans" w:hint="eastAsia"/>
          <w:b/>
          <w:bCs/>
          <w:color w:val="1C1D1E"/>
          <w:lang w:val="en-US"/>
        </w:rPr>
        <w:t>Rifon, L., &amp; Juncos</w:t>
      </w:r>
      <w:r w:rsidRPr="00DC71B4">
        <w:rPr>
          <w:rFonts w:ascii="Open Sans" w:hAnsi="Open Sans" w:cs="Open Sans" w:hint="eastAsia"/>
          <w:b/>
          <w:bCs/>
          <w:color w:val="1C1D1E"/>
          <w:lang w:val="en-US"/>
        </w:rPr>
        <w:t>‐</w:t>
      </w:r>
      <w:r w:rsidRPr="00DC71B4">
        <w:rPr>
          <w:rFonts w:ascii="Open Sans" w:hAnsi="Open Sans" w:cs="Open Sans" w:hint="eastAsia"/>
          <w:b/>
          <w:bCs/>
          <w:color w:val="1C1D1E"/>
          <w:lang w:val="en-US"/>
        </w:rPr>
        <w:t>Rabadán, O. (2019). Machine learning approaches to studying the role of cognitive reserve in conversion from mild cognitive impairment to dementia. Internationa</w:t>
      </w:r>
      <w:r w:rsidRPr="00DC71B4">
        <w:rPr>
          <w:rFonts w:ascii="Open Sans" w:hAnsi="Open Sans" w:cs="Open Sans"/>
          <w:b/>
          <w:bCs/>
          <w:color w:val="1C1D1E"/>
          <w:lang w:val="en-US"/>
        </w:rPr>
        <w:t xml:space="preserve">l journal of geriatric psychiatry, 34(7), 941-949, which has been published in final form at </w:t>
      </w:r>
      <w:r>
        <w:rPr>
          <w:rFonts w:ascii="Open Sans" w:hAnsi="Open Sans" w:cs="Open Sans"/>
          <w:b/>
          <w:bCs/>
          <w:sz w:val="21"/>
          <w:szCs w:val="21"/>
          <w:lang w:val="en-US"/>
        </w:rPr>
        <w:fldChar w:fldCharType="begin"/>
      </w:r>
      <w:r>
        <w:rPr>
          <w:rFonts w:ascii="Open Sans" w:hAnsi="Open Sans" w:cs="Open Sans"/>
          <w:b/>
          <w:bCs/>
          <w:sz w:val="21"/>
          <w:szCs w:val="21"/>
          <w:lang w:val="en-US"/>
        </w:rPr>
        <w:instrText>HYPERLINK "</w:instrText>
      </w:r>
      <w:r w:rsidRPr="00DC71B4">
        <w:rPr>
          <w:rFonts w:ascii="Open Sans" w:hAnsi="Open Sans" w:cs="Open Sans"/>
          <w:b/>
          <w:bCs/>
          <w:sz w:val="21"/>
          <w:szCs w:val="21"/>
          <w:lang w:val="en-US"/>
        </w:rPr>
        <w:instrText>https://doi.org/10.1002/gps.5090</w:instrText>
      </w:r>
      <w:r>
        <w:rPr>
          <w:rFonts w:ascii="Open Sans" w:hAnsi="Open Sans" w:cs="Open Sans"/>
          <w:b/>
          <w:bCs/>
          <w:sz w:val="21"/>
          <w:szCs w:val="21"/>
          <w:lang w:val="en-US"/>
        </w:rPr>
        <w:instrText>"</w:instrText>
      </w:r>
      <w:r>
        <w:rPr>
          <w:rFonts w:ascii="Open Sans" w:hAnsi="Open Sans" w:cs="Open Sans"/>
          <w:b/>
          <w:bCs/>
          <w:sz w:val="21"/>
          <w:szCs w:val="21"/>
          <w:lang w:val="en-US"/>
        </w:rPr>
        <w:fldChar w:fldCharType="separate"/>
      </w:r>
      <w:r w:rsidRPr="008F50F2">
        <w:rPr>
          <w:rStyle w:val="Hipervnculo"/>
          <w:rFonts w:ascii="Open Sans" w:hAnsi="Open Sans" w:cs="Open Sans"/>
          <w:b/>
          <w:bCs/>
          <w:sz w:val="21"/>
          <w:szCs w:val="21"/>
          <w:lang w:val="en-US"/>
        </w:rPr>
        <w:t>https://doi.org/10.1002/gps.5090</w:t>
      </w:r>
      <w:r>
        <w:rPr>
          <w:rFonts w:ascii="Open Sans" w:hAnsi="Open Sans" w:cs="Open Sans"/>
          <w:b/>
          <w:bCs/>
          <w:sz w:val="21"/>
          <w:szCs w:val="21"/>
          <w:lang w:val="en-US"/>
        </w:rPr>
        <w:fldChar w:fldCharType="end"/>
      </w:r>
      <w:r w:rsidRPr="00DC71B4">
        <w:rPr>
          <w:rFonts w:ascii="Open Sans" w:hAnsi="Open Sans" w:cs="Open Sans"/>
          <w:b/>
          <w:bCs/>
          <w:color w:val="1C1D1E"/>
          <w:lang w:val="en-US"/>
        </w:rPr>
        <w:t>. This article may be used for non-commercial purposes in accordance with Wiley Terms and Conditions for Use of Self-Archived Versions. This article may not be enhanced, enriched or otherwise transformed into a derivative work, without express permission from Wiley or by statutory rights under applicable legislation. Copyright notices must not be removed, obscured or modified. The article must be linked to Wiley’s version of record on Wiley Online Library and any embedding, framing or otherwise making available the article or pages thereof by third parties from platforms, services and websites other than Wiley Online Library must be prohibited."</w:t>
      </w:r>
    </w:p>
    <w:p w14:paraId="6DBCF6BB" w14:textId="77777777" w:rsidR="00DC71B4" w:rsidRDefault="00DC71B4" w:rsidP="00322D73">
      <w:pPr>
        <w:pStyle w:val="NormalWeb"/>
        <w:spacing w:line="360" w:lineRule="auto"/>
        <w:rPr>
          <w:rFonts w:ascii="Times New Roman" w:eastAsia="Times New Roman" w:hAnsi="Times New Roman"/>
          <w:b/>
          <w:bCs/>
          <w:color w:val="1C1D1E"/>
          <w:sz w:val="24"/>
          <w:szCs w:val="24"/>
          <w:shd w:val="clear" w:color="auto" w:fill="FFFFFF"/>
          <w:lang w:val="en-GB"/>
        </w:rPr>
      </w:pPr>
    </w:p>
    <w:p w14:paraId="37FB932F" w14:textId="7A3F6970" w:rsidR="002D6D99" w:rsidRPr="000B70C6" w:rsidRDefault="27771A4B" w:rsidP="00322D73">
      <w:pPr>
        <w:pStyle w:val="NormalWeb"/>
        <w:spacing w:line="360" w:lineRule="auto"/>
        <w:rPr>
          <w:rFonts w:ascii="Times New Roman" w:eastAsia="Times New Roman" w:hAnsi="Times New Roman"/>
          <w:b/>
          <w:bCs/>
          <w:color w:val="1C1D1E"/>
          <w:sz w:val="24"/>
          <w:szCs w:val="24"/>
          <w:lang w:val="en-GB"/>
        </w:rPr>
      </w:pPr>
      <w:r w:rsidRPr="000B70C6">
        <w:rPr>
          <w:rFonts w:ascii="Times New Roman" w:eastAsia="Times New Roman" w:hAnsi="Times New Roman"/>
          <w:b/>
          <w:bCs/>
          <w:color w:val="1C1D1E"/>
          <w:sz w:val="24"/>
          <w:szCs w:val="24"/>
          <w:shd w:val="clear" w:color="auto" w:fill="FFFFFF"/>
          <w:lang w:val="en-GB"/>
        </w:rPr>
        <w:t>T</w:t>
      </w:r>
      <w:r w:rsidR="002D6D99" w:rsidRPr="000B70C6">
        <w:rPr>
          <w:rFonts w:ascii="Times New Roman" w:eastAsia="Times New Roman" w:hAnsi="Times New Roman"/>
          <w:b/>
          <w:bCs/>
          <w:color w:val="1C1D1E"/>
          <w:sz w:val="24"/>
          <w:szCs w:val="24"/>
          <w:shd w:val="clear" w:color="auto" w:fill="FFFFFF"/>
          <w:lang w:val="en-GB"/>
        </w:rPr>
        <w:t>itle</w:t>
      </w:r>
    </w:p>
    <w:p w14:paraId="494A4F6F" w14:textId="77777777" w:rsidR="002D6D99" w:rsidRPr="000B70C6" w:rsidRDefault="002D6D99" w:rsidP="00322D73">
      <w:pPr>
        <w:pStyle w:val="NormalWeb"/>
        <w:spacing w:line="360" w:lineRule="auto"/>
        <w:rPr>
          <w:rFonts w:ascii="Times New Roman" w:eastAsia="Times New Roman" w:hAnsi="Times New Roman"/>
          <w:i/>
          <w:iCs/>
          <w:color w:val="1C1D1E"/>
          <w:sz w:val="24"/>
          <w:szCs w:val="24"/>
          <w:lang w:val="en-GB"/>
        </w:rPr>
      </w:pPr>
      <w:r w:rsidRPr="000B70C6">
        <w:rPr>
          <w:rFonts w:ascii="Times New Roman" w:eastAsia="Times New Roman" w:hAnsi="Times New Roman"/>
          <w:color w:val="1C1D1E"/>
          <w:sz w:val="24"/>
          <w:szCs w:val="24"/>
          <w:shd w:val="clear" w:color="auto" w:fill="FFFFFF"/>
          <w:lang w:val="en-GB"/>
        </w:rPr>
        <w:t xml:space="preserve">Machine learning approaches </w:t>
      </w:r>
      <w:r w:rsidR="00033DFF" w:rsidRPr="000B70C6">
        <w:rPr>
          <w:rFonts w:ascii="Times New Roman" w:eastAsia="Times New Roman" w:hAnsi="Times New Roman"/>
          <w:color w:val="1C1D1E"/>
          <w:sz w:val="24"/>
          <w:szCs w:val="24"/>
          <w:shd w:val="clear" w:color="auto" w:fill="FFFFFF"/>
          <w:lang w:val="en-GB"/>
        </w:rPr>
        <w:t xml:space="preserve">to </w:t>
      </w:r>
      <w:r w:rsidRPr="000B70C6">
        <w:rPr>
          <w:rFonts w:ascii="Times New Roman" w:eastAsia="Times New Roman" w:hAnsi="Times New Roman"/>
          <w:color w:val="1C1D1E"/>
          <w:sz w:val="24"/>
          <w:szCs w:val="24"/>
          <w:shd w:val="clear" w:color="auto" w:fill="FFFFFF"/>
          <w:lang w:val="en-GB"/>
        </w:rPr>
        <w:t>study</w:t>
      </w:r>
      <w:r w:rsidR="00C47EF5" w:rsidRPr="000B70C6">
        <w:rPr>
          <w:rFonts w:ascii="Times New Roman" w:eastAsia="Times New Roman" w:hAnsi="Times New Roman"/>
          <w:color w:val="1C1D1E"/>
          <w:sz w:val="24"/>
          <w:szCs w:val="24"/>
          <w:shd w:val="clear" w:color="auto" w:fill="FFFFFF"/>
          <w:lang w:val="en-GB"/>
        </w:rPr>
        <w:t>i</w:t>
      </w:r>
      <w:r w:rsidRPr="000B70C6">
        <w:rPr>
          <w:rFonts w:ascii="Times New Roman" w:eastAsia="Times New Roman" w:hAnsi="Times New Roman"/>
          <w:color w:val="1C1D1E"/>
          <w:sz w:val="24"/>
          <w:szCs w:val="24"/>
          <w:shd w:val="clear" w:color="auto" w:fill="FFFFFF"/>
          <w:lang w:val="en-GB"/>
        </w:rPr>
        <w:t>ng the r</w:t>
      </w:r>
      <w:r w:rsidR="006C7530" w:rsidRPr="000B70C6">
        <w:rPr>
          <w:rFonts w:ascii="Times New Roman" w:eastAsia="Times New Roman" w:hAnsi="Times New Roman"/>
          <w:color w:val="1C1D1E"/>
          <w:sz w:val="24"/>
          <w:szCs w:val="24"/>
          <w:shd w:val="clear" w:color="auto" w:fill="FFFFFF"/>
          <w:lang w:val="en-GB"/>
        </w:rPr>
        <w:t xml:space="preserve">ole of cognitive reserve in </w:t>
      </w:r>
      <w:r w:rsidR="00C47EF5" w:rsidRPr="000B70C6">
        <w:rPr>
          <w:rFonts w:ascii="Times New Roman" w:eastAsia="Times New Roman" w:hAnsi="Times New Roman"/>
          <w:color w:val="1C1D1E"/>
          <w:sz w:val="24"/>
          <w:szCs w:val="24"/>
          <w:shd w:val="clear" w:color="auto" w:fill="FFFFFF"/>
          <w:lang w:val="en-GB"/>
        </w:rPr>
        <w:t>conversion</w:t>
      </w:r>
      <w:r w:rsidR="006C7530" w:rsidRPr="000B70C6">
        <w:rPr>
          <w:rFonts w:ascii="Times New Roman" w:eastAsia="Times New Roman" w:hAnsi="Times New Roman"/>
          <w:color w:val="1C1D1E"/>
          <w:sz w:val="24"/>
          <w:szCs w:val="24"/>
          <w:shd w:val="clear" w:color="auto" w:fill="FFFFFF"/>
          <w:lang w:val="en-GB"/>
        </w:rPr>
        <w:t xml:space="preserve"> from mild c</w:t>
      </w:r>
      <w:r w:rsidRPr="000B70C6">
        <w:rPr>
          <w:rFonts w:ascii="Times New Roman" w:eastAsia="Times New Roman" w:hAnsi="Times New Roman"/>
          <w:color w:val="1C1D1E"/>
          <w:sz w:val="24"/>
          <w:szCs w:val="24"/>
          <w:shd w:val="clear" w:color="auto" w:fill="FFFFFF"/>
          <w:lang w:val="en-GB"/>
        </w:rPr>
        <w:t xml:space="preserve">ognitive impairment to dementia </w:t>
      </w:r>
    </w:p>
    <w:p w14:paraId="42D63B9A" w14:textId="77777777" w:rsidR="006C7530" w:rsidRPr="000B70C6" w:rsidRDefault="006C7530" w:rsidP="54AFCCBD">
      <w:pPr>
        <w:spacing w:line="360" w:lineRule="auto"/>
        <w:rPr>
          <w:rFonts w:ascii="Times New Roman" w:eastAsia="Times New Roman" w:hAnsi="Times New Roman"/>
          <w:color w:val="1C1D1E"/>
        </w:rPr>
      </w:pPr>
    </w:p>
    <w:p w14:paraId="2FB95A76" w14:textId="756A5BC5" w:rsidR="002D6D99" w:rsidRPr="000B70C6" w:rsidRDefault="002D6D99" w:rsidP="00322D73">
      <w:pPr>
        <w:pStyle w:val="NormalWeb"/>
        <w:spacing w:line="360" w:lineRule="auto"/>
        <w:rPr>
          <w:rFonts w:ascii="Times New Roman" w:eastAsia="Times New Roman" w:hAnsi="Times New Roman"/>
          <w:color w:val="1C1D1E"/>
          <w:sz w:val="24"/>
          <w:szCs w:val="24"/>
          <w:lang w:val="en-GB"/>
        </w:rPr>
      </w:pPr>
      <w:r w:rsidRPr="000B70C6">
        <w:rPr>
          <w:rFonts w:ascii="Times New Roman" w:eastAsia="Times New Roman" w:hAnsi="Times New Roman"/>
          <w:b/>
          <w:bCs/>
          <w:color w:val="1C1D1E"/>
          <w:sz w:val="24"/>
          <w:szCs w:val="24"/>
          <w:shd w:val="clear" w:color="auto" w:fill="FFFFFF"/>
          <w:lang w:val="en-GB"/>
        </w:rPr>
        <w:t xml:space="preserve">Short running title </w:t>
      </w:r>
      <w:r w:rsidRPr="000B70C6">
        <w:rPr>
          <w:rFonts w:ascii="Times New Roman" w:eastAsia="Times New Roman" w:hAnsi="Times New Roman"/>
          <w:color w:val="1C1D1E"/>
          <w:sz w:val="24"/>
          <w:szCs w:val="24"/>
          <w:shd w:val="clear" w:color="auto" w:fill="FFFFFF"/>
          <w:lang w:val="en-GB"/>
        </w:rPr>
        <w:t>(50 characters)</w:t>
      </w:r>
      <w:r w:rsidR="00C47EF5" w:rsidRPr="000B70C6">
        <w:rPr>
          <w:rFonts w:ascii="Times New Roman" w:eastAsia="Times New Roman" w:hAnsi="Times New Roman"/>
          <w:color w:val="1C1D1E"/>
          <w:sz w:val="24"/>
          <w:szCs w:val="24"/>
          <w:shd w:val="clear" w:color="auto" w:fill="FFFFFF"/>
          <w:lang w:val="en-GB"/>
        </w:rPr>
        <w:t xml:space="preserve">: Machine learning </w:t>
      </w:r>
      <w:r w:rsidR="006C3755">
        <w:rPr>
          <w:rFonts w:ascii="Times New Roman" w:eastAsia="Times New Roman" w:hAnsi="Times New Roman"/>
          <w:color w:val="1C1D1E"/>
          <w:sz w:val="24"/>
          <w:szCs w:val="24"/>
          <w:shd w:val="clear" w:color="auto" w:fill="FFFFFF"/>
          <w:lang w:val="en-GB"/>
        </w:rPr>
        <w:t>to</w:t>
      </w:r>
      <w:r w:rsidR="006C3755" w:rsidRPr="000B70C6">
        <w:rPr>
          <w:rFonts w:ascii="Times New Roman" w:eastAsia="Times New Roman" w:hAnsi="Times New Roman"/>
          <w:color w:val="1C1D1E"/>
          <w:sz w:val="24"/>
          <w:szCs w:val="24"/>
          <w:shd w:val="clear" w:color="auto" w:fill="FFFFFF"/>
          <w:lang w:val="en-GB"/>
        </w:rPr>
        <w:t xml:space="preserve"> </w:t>
      </w:r>
      <w:r w:rsidR="00C47EF5" w:rsidRPr="000B70C6">
        <w:rPr>
          <w:rFonts w:ascii="Times New Roman" w:eastAsia="Times New Roman" w:hAnsi="Times New Roman"/>
          <w:color w:val="1C1D1E"/>
          <w:sz w:val="24"/>
          <w:szCs w:val="24"/>
          <w:shd w:val="clear" w:color="auto" w:fill="FFFFFF"/>
          <w:lang w:val="en-GB"/>
        </w:rPr>
        <w:t xml:space="preserve">studying </w:t>
      </w:r>
      <w:r w:rsidR="00FC47B9">
        <w:rPr>
          <w:rFonts w:ascii="Times New Roman" w:eastAsia="Times New Roman" w:hAnsi="Times New Roman"/>
          <w:color w:val="1C1D1E"/>
          <w:sz w:val="24"/>
          <w:szCs w:val="24"/>
          <w:shd w:val="clear" w:color="auto" w:fill="FFFFFF"/>
          <w:lang w:val="en-GB"/>
        </w:rPr>
        <w:t>reserve in conversion</w:t>
      </w:r>
    </w:p>
    <w:p w14:paraId="74D040B3" w14:textId="77777777" w:rsidR="002D6D99" w:rsidRPr="000B70C6" w:rsidRDefault="002D6D99" w:rsidP="54AFCCBD">
      <w:pPr>
        <w:spacing w:line="360" w:lineRule="auto"/>
        <w:rPr>
          <w:rFonts w:ascii="Times New Roman" w:eastAsia="Times New Roman" w:hAnsi="Times New Roman"/>
          <w:color w:val="1C1D1E"/>
        </w:rPr>
      </w:pPr>
    </w:p>
    <w:p w14:paraId="744EF914" w14:textId="77777777" w:rsidR="002D6D99" w:rsidRPr="00E12F44" w:rsidRDefault="002D6D99" w:rsidP="54AFCCBD">
      <w:pPr>
        <w:spacing w:line="360" w:lineRule="auto"/>
        <w:rPr>
          <w:rFonts w:ascii="Times New Roman" w:eastAsia="Times New Roman" w:hAnsi="Times New Roman"/>
          <w:b/>
          <w:bCs/>
          <w:color w:val="1C1D1E"/>
          <w:lang w:val="es-ES"/>
        </w:rPr>
      </w:pPr>
      <w:r w:rsidRPr="00E12F44">
        <w:rPr>
          <w:rFonts w:ascii="Times New Roman" w:eastAsia="Times New Roman" w:hAnsi="Times New Roman"/>
          <w:b/>
          <w:bCs/>
          <w:color w:val="1C1D1E"/>
          <w:shd w:val="clear" w:color="auto" w:fill="FFFFFF"/>
          <w:lang w:val="es-ES"/>
        </w:rPr>
        <w:t>Authors names and institutio</w:t>
      </w:r>
      <w:r w:rsidR="004569A1" w:rsidRPr="00E12F44">
        <w:rPr>
          <w:rFonts w:ascii="Times New Roman" w:eastAsia="Times New Roman" w:hAnsi="Times New Roman"/>
          <w:b/>
          <w:bCs/>
          <w:color w:val="1C1D1E"/>
          <w:shd w:val="clear" w:color="auto" w:fill="FFFFFF"/>
          <w:lang w:val="es-ES"/>
        </w:rPr>
        <w:t>n</w:t>
      </w:r>
      <w:r w:rsidRPr="00E12F44">
        <w:rPr>
          <w:rFonts w:ascii="Times New Roman" w:eastAsia="Times New Roman" w:hAnsi="Times New Roman"/>
          <w:b/>
          <w:bCs/>
          <w:color w:val="1C1D1E"/>
          <w:shd w:val="clear" w:color="auto" w:fill="FFFFFF"/>
          <w:lang w:val="es-ES"/>
        </w:rPr>
        <w:t>al affiliations</w:t>
      </w:r>
    </w:p>
    <w:p w14:paraId="6D8D89B7" w14:textId="4F4DFC71" w:rsidR="00FC47B9" w:rsidRDefault="00FC47B9" w:rsidP="00FC47B9">
      <w:pPr>
        <w:widowControl w:val="0"/>
        <w:autoSpaceDE w:val="0"/>
        <w:autoSpaceDN w:val="0"/>
        <w:adjustRightInd w:val="0"/>
        <w:rPr>
          <w:rFonts w:ascii="Times New Roman" w:hAnsi="Times New Roman"/>
          <w:color w:val="000000"/>
          <w:lang w:val="es-ES"/>
        </w:rPr>
      </w:pPr>
      <w:r>
        <w:rPr>
          <w:rFonts w:ascii="Times New Roman" w:hAnsi="Times New Roman"/>
          <w:color w:val="000000"/>
          <w:lang w:val="es-ES"/>
        </w:rPr>
        <w:t>David Facal</w:t>
      </w:r>
      <w:r>
        <w:rPr>
          <w:rFonts w:ascii="Times New Roman" w:hAnsi="Times New Roman"/>
          <w:color w:val="00A7FD"/>
          <w:sz w:val="14"/>
          <w:szCs w:val="14"/>
          <w:lang w:val="es-ES"/>
        </w:rPr>
        <w:t>1</w:t>
      </w:r>
      <w:r>
        <w:rPr>
          <w:rFonts w:ascii="Times New Roman" w:hAnsi="Times New Roman"/>
          <w:color w:val="000000"/>
          <w:lang w:val="es-ES"/>
        </w:rPr>
        <w:t>, Sonia Valladares-Rodriguez</w:t>
      </w:r>
      <w:r>
        <w:rPr>
          <w:rFonts w:ascii="Times New Roman" w:hAnsi="Times New Roman"/>
          <w:color w:val="00A7FD"/>
          <w:sz w:val="14"/>
          <w:szCs w:val="14"/>
          <w:lang w:val="es-ES"/>
        </w:rPr>
        <w:t>2</w:t>
      </w:r>
      <w:r>
        <w:rPr>
          <w:rFonts w:ascii="Times New Roman" w:hAnsi="Times New Roman"/>
          <w:color w:val="000000"/>
          <w:lang w:val="es-ES"/>
        </w:rPr>
        <w:t>, Cristina Lojo-Seoane</w:t>
      </w:r>
      <w:r>
        <w:rPr>
          <w:rFonts w:ascii="Times New Roman" w:hAnsi="Times New Roman"/>
          <w:color w:val="00A7FD"/>
          <w:sz w:val="14"/>
          <w:szCs w:val="14"/>
          <w:lang w:val="es-ES"/>
        </w:rPr>
        <w:t>1</w:t>
      </w:r>
      <w:r>
        <w:rPr>
          <w:rFonts w:ascii="Times New Roman" w:hAnsi="Times New Roman"/>
          <w:color w:val="000000"/>
          <w:lang w:val="es-ES"/>
        </w:rPr>
        <w:t>, Arturo X. Pereiro</w:t>
      </w:r>
      <w:r>
        <w:rPr>
          <w:rFonts w:ascii="Times New Roman" w:hAnsi="Times New Roman"/>
          <w:color w:val="00A7FD"/>
          <w:sz w:val="14"/>
          <w:szCs w:val="14"/>
          <w:lang w:val="es-ES"/>
        </w:rPr>
        <w:t>1</w:t>
      </w:r>
      <w:r>
        <w:rPr>
          <w:rFonts w:ascii="Times New Roman" w:hAnsi="Times New Roman"/>
          <w:color w:val="000000"/>
          <w:lang w:val="es-ES"/>
        </w:rPr>
        <w:t>, Luis Anido-Rifon</w:t>
      </w:r>
      <w:r>
        <w:rPr>
          <w:rFonts w:ascii="Times New Roman" w:hAnsi="Times New Roman"/>
          <w:color w:val="00A7FD"/>
          <w:sz w:val="14"/>
          <w:szCs w:val="14"/>
          <w:lang w:val="es-ES"/>
        </w:rPr>
        <w:t>2</w:t>
      </w:r>
      <w:r>
        <w:rPr>
          <w:rFonts w:ascii="Times New Roman" w:hAnsi="Times New Roman"/>
          <w:color w:val="000000"/>
          <w:lang w:val="es-ES"/>
        </w:rPr>
        <w:t>, Onésimo Juncos-Rabadán</w:t>
      </w:r>
      <w:r>
        <w:rPr>
          <w:rFonts w:ascii="Times New Roman" w:hAnsi="Times New Roman"/>
          <w:color w:val="00A7FD"/>
          <w:sz w:val="14"/>
          <w:szCs w:val="14"/>
          <w:lang w:val="es-ES"/>
        </w:rPr>
        <w:t>1</w:t>
      </w:r>
    </w:p>
    <w:p w14:paraId="7DDA5A5B" w14:textId="77777777" w:rsidR="00FC47B9" w:rsidRPr="00E76D73" w:rsidRDefault="00FC47B9" w:rsidP="00FC47B9">
      <w:pPr>
        <w:widowControl w:val="0"/>
        <w:autoSpaceDE w:val="0"/>
        <w:autoSpaceDN w:val="0"/>
        <w:adjustRightInd w:val="0"/>
        <w:rPr>
          <w:rFonts w:ascii="Times New Roman" w:hAnsi="Times New Roman"/>
          <w:color w:val="000000"/>
          <w:lang w:val="es-ES"/>
        </w:rPr>
      </w:pPr>
    </w:p>
    <w:p w14:paraId="3D483320" w14:textId="77777777" w:rsidR="00FC47B9" w:rsidRPr="00E12F44" w:rsidRDefault="00FC47B9" w:rsidP="00FC47B9">
      <w:pPr>
        <w:widowControl w:val="0"/>
        <w:autoSpaceDE w:val="0"/>
        <w:autoSpaceDN w:val="0"/>
        <w:adjustRightInd w:val="0"/>
        <w:rPr>
          <w:rFonts w:ascii="Times New Roman" w:hAnsi="Times New Roman"/>
          <w:color w:val="000000"/>
        </w:rPr>
      </w:pPr>
      <w:r w:rsidRPr="00E12F44">
        <w:rPr>
          <w:rFonts w:ascii="Times New Roman" w:hAnsi="Times New Roman"/>
          <w:color w:val="00A7FD"/>
        </w:rPr>
        <w:t xml:space="preserve">1 </w:t>
      </w:r>
      <w:r w:rsidRPr="00E12F44">
        <w:rPr>
          <w:rFonts w:ascii="Times New Roman" w:hAnsi="Times New Roman"/>
          <w:color w:val="000000"/>
        </w:rPr>
        <w:t>Department of Developmental and Educational Psychology, Universidade de Santiago de Compostela, Santiago de Compostela.</w:t>
      </w:r>
    </w:p>
    <w:p w14:paraId="3CC9570F" w14:textId="77777777" w:rsidR="00FC47B9" w:rsidRPr="00E12F44" w:rsidRDefault="00FC47B9" w:rsidP="00FC47B9">
      <w:pPr>
        <w:widowControl w:val="0"/>
        <w:autoSpaceDE w:val="0"/>
        <w:autoSpaceDN w:val="0"/>
        <w:adjustRightInd w:val="0"/>
        <w:rPr>
          <w:rFonts w:ascii="Times New Roman" w:hAnsi="Times New Roman"/>
          <w:color w:val="000000"/>
        </w:rPr>
      </w:pPr>
    </w:p>
    <w:p w14:paraId="34354860" w14:textId="15DE2C78" w:rsidR="00FC47B9" w:rsidRPr="00E12F44" w:rsidRDefault="00FC47B9" w:rsidP="00FC47B9">
      <w:pPr>
        <w:widowControl w:val="0"/>
        <w:autoSpaceDE w:val="0"/>
        <w:autoSpaceDN w:val="0"/>
        <w:adjustRightInd w:val="0"/>
        <w:rPr>
          <w:rFonts w:ascii="Times New Roman" w:hAnsi="Times New Roman"/>
          <w:color w:val="000000"/>
        </w:rPr>
      </w:pPr>
      <w:r w:rsidRPr="00E12F44">
        <w:rPr>
          <w:rFonts w:ascii="Times New Roman" w:hAnsi="Times New Roman"/>
          <w:color w:val="00A7FD"/>
        </w:rPr>
        <w:t xml:space="preserve">2 </w:t>
      </w:r>
      <w:r w:rsidRPr="00E12F44">
        <w:rPr>
          <w:rFonts w:ascii="Times New Roman" w:hAnsi="Times New Roman"/>
          <w:color w:val="000000"/>
        </w:rPr>
        <w:t>School of Telecommunication Engineering, University of Vigo, Vigo, Spain</w:t>
      </w:r>
    </w:p>
    <w:p w14:paraId="2E3EA463" w14:textId="77777777" w:rsidR="00FC47B9" w:rsidRPr="00E76D73" w:rsidRDefault="00FC47B9" w:rsidP="00FC47B9">
      <w:pPr>
        <w:spacing w:line="360" w:lineRule="auto"/>
        <w:rPr>
          <w:rFonts w:ascii="Times New Roman" w:eastAsia="Times New Roman" w:hAnsi="Times New Roman"/>
          <w:b/>
          <w:bCs/>
          <w:color w:val="1C1D1E"/>
        </w:rPr>
      </w:pPr>
    </w:p>
    <w:p w14:paraId="3329992D" w14:textId="77777777" w:rsidR="002D6D99" w:rsidRPr="00E12F44" w:rsidRDefault="002D6D99" w:rsidP="54AFCCBD">
      <w:pPr>
        <w:spacing w:line="360" w:lineRule="auto"/>
        <w:rPr>
          <w:rFonts w:ascii="Times New Roman" w:eastAsia="Times New Roman" w:hAnsi="Times New Roman"/>
          <w:b/>
          <w:bCs/>
          <w:color w:val="1C1D1E"/>
          <w:lang w:val="es-ES"/>
        </w:rPr>
      </w:pPr>
      <w:r w:rsidRPr="00E12F44">
        <w:rPr>
          <w:rFonts w:ascii="Times New Roman" w:eastAsia="Times New Roman" w:hAnsi="Times New Roman"/>
          <w:b/>
          <w:bCs/>
          <w:color w:val="1C1D1E"/>
          <w:shd w:val="clear" w:color="auto" w:fill="FFFFFF"/>
          <w:lang w:val="es-ES"/>
        </w:rPr>
        <w:t>Corresponding author details</w:t>
      </w:r>
    </w:p>
    <w:p w14:paraId="06B5DB60" w14:textId="2BC49339" w:rsidR="00FC47B9" w:rsidRPr="00FC47B9" w:rsidRDefault="00FC47B9" w:rsidP="00FC47B9">
      <w:pPr>
        <w:widowControl w:val="0"/>
        <w:autoSpaceDE w:val="0"/>
        <w:autoSpaceDN w:val="0"/>
        <w:adjustRightInd w:val="0"/>
        <w:rPr>
          <w:rFonts w:ascii="Times New Roman" w:hAnsi="Times New Roman"/>
          <w:color w:val="000000"/>
          <w:lang w:val="es-ES"/>
        </w:rPr>
      </w:pPr>
      <w:r w:rsidRPr="00FC47B9">
        <w:rPr>
          <w:rFonts w:ascii="Times New Roman" w:hAnsi="Times New Roman"/>
          <w:color w:val="000000"/>
          <w:lang w:val="es-ES"/>
        </w:rPr>
        <w:t>David Facal</w:t>
      </w:r>
    </w:p>
    <w:p w14:paraId="09AD97A4" w14:textId="6B62AA9A" w:rsidR="00FC47B9" w:rsidRPr="00E12F44" w:rsidRDefault="00FC47B9" w:rsidP="00FC47B9">
      <w:pPr>
        <w:widowControl w:val="0"/>
        <w:autoSpaceDE w:val="0"/>
        <w:autoSpaceDN w:val="0"/>
        <w:adjustRightInd w:val="0"/>
        <w:rPr>
          <w:rFonts w:ascii="Times New Roman" w:hAnsi="Times New Roman"/>
          <w:color w:val="000000"/>
        </w:rPr>
      </w:pPr>
      <w:r w:rsidRPr="00FC47B9">
        <w:rPr>
          <w:rFonts w:ascii="Times New Roman" w:hAnsi="Times New Roman"/>
          <w:color w:val="000000"/>
          <w:lang w:val="es-ES"/>
        </w:rPr>
        <w:t xml:space="preserve">Facultade de Psicoloxía - Rúa Xosé María Suárez Núñez, s/n. Campus </w:t>
      </w:r>
      <w:r>
        <w:rPr>
          <w:rFonts w:ascii="Times New Roman" w:hAnsi="Times New Roman"/>
          <w:color w:val="000000"/>
          <w:lang w:val="es-ES"/>
        </w:rPr>
        <w:t>vida</w:t>
      </w:r>
      <w:r w:rsidRPr="00FC47B9">
        <w:rPr>
          <w:rFonts w:ascii="Times New Roman" w:hAnsi="Times New Roman"/>
          <w:color w:val="000000"/>
          <w:lang w:val="es-ES"/>
        </w:rPr>
        <w:t>. </w:t>
      </w:r>
      <w:r w:rsidRPr="00FC47B9">
        <w:rPr>
          <w:rFonts w:ascii="Times New Roman" w:hAnsi="Times New Roman"/>
          <w:color w:val="000000"/>
          <w:lang w:val="es-ES"/>
        </w:rPr>
        <w:br/>
      </w:r>
      <w:r w:rsidRPr="00E12F44">
        <w:rPr>
          <w:rFonts w:ascii="Times New Roman" w:hAnsi="Times New Roman"/>
          <w:color w:val="000000"/>
        </w:rPr>
        <w:t>15782 Santiago de Compostela, Spain.</w:t>
      </w:r>
    </w:p>
    <w:p w14:paraId="639F3708" w14:textId="3A9977BA" w:rsidR="00FC47B9" w:rsidRPr="00E12F44" w:rsidRDefault="00FC47B9" w:rsidP="00FC47B9">
      <w:pPr>
        <w:widowControl w:val="0"/>
        <w:autoSpaceDE w:val="0"/>
        <w:autoSpaceDN w:val="0"/>
        <w:adjustRightInd w:val="0"/>
        <w:rPr>
          <w:rFonts w:ascii="Times New Roman" w:hAnsi="Times New Roman"/>
          <w:color w:val="000000"/>
        </w:rPr>
      </w:pPr>
      <w:r w:rsidRPr="00E12F44">
        <w:rPr>
          <w:rFonts w:ascii="Times New Roman" w:hAnsi="Times New Roman"/>
          <w:color w:val="000000"/>
        </w:rPr>
        <w:t>Phone: 0034 881 813 695</w:t>
      </w:r>
    </w:p>
    <w:p w14:paraId="6E0F208B" w14:textId="2C92EC2B" w:rsidR="00FC47B9" w:rsidRPr="00E12F44" w:rsidRDefault="00FC47B9" w:rsidP="00FC47B9">
      <w:pPr>
        <w:widowControl w:val="0"/>
        <w:autoSpaceDE w:val="0"/>
        <w:autoSpaceDN w:val="0"/>
        <w:adjustRightInd w:val="0"/>
        <w:rPr>
          <w:rFonts w:ascii="Times New Roman" w:hAnsi="Times New Roman"/>
          <w:color w:val="000000"/>
        </w:rPr>
      </w:pPr>
      <w:r w:rsidRPr="00E12F44">
        <w:rPr>
          <w:rFonts w:ascii="Times New Roman" w:hAnsi="Times New Roman"/>
          <w:color w:val="000000"/>
        </w:rPr>
        <w:t>E-mail: david.facal@usc.es</w:t>
      </w:r>
    </w:p>
    <w:p w14:paraId="5DE610A3" w14:textId="77777777" w:rsidR="002D6D99" w:rsidRPr="000B70C6" w:rsidRDefault="002D6D99" w:rsidP="54AFCCBD">
      <w:pPr>
        <w:spacing w:line="360" w:lineRule="auto"/>
        <w:rPr>
          <w:rFonts w:ascii="Times New Roman" w:eastAsia="Times New Roman" w:hAnsi="Times New Roman"/>
          <w:b/>
          <w:bCs/>
          <w:color w:val="1C1D1E"/>
        </w:rPr>
      </w:pPr>
    </w:p>
    <w:p w14:paraId="5E192D62" w14:textId="06EC0B2D" w:rsidR="002D6D99" w:rsidRPr="000B70C6" w:rsidRDefault="002D6D99" w:rsidP="54AFCCBD">
      <w:pPr>
        <w:spacing w:line="360" w:lineRule="auto"/>
        <w:rPr>
          <w:rFonts w:ascii="Times New Roman" w:eastAsia="Times New Roman" w:hAnsi="Times New Roman"/>
          <w:b/>
          <w:bCs/>
          <w:color w:val="1C1D1E"/>
        </w:rPr>
      </w:pPr>
      <w:r w:rsidRPr="000B70C6">
        <w:rPr>
          <w:rFonts w:ascii="Times New Roman" w:eastAsia="Times New Roman" w:hAnsi="Times New Roman"/>
          <w:b/>
          <w:bCs/>
          <w:color w:val="1C1D1E"/>
          <w:shd w:val="clear" w:color="auto" w:fill="FFFFFF"/>
        </w:rPr>
        <w:t xml:space="preserve">Word count of the body text: </w:t>
      </w:r>
      <w:r w:rsidR="001527B2" w:rsidRPr="001527B2">
        <w:rPr>
          <w:rFonts w:ascii="Times New Roman" w:eastAsia="Times New Roman" w:hAnsi="Times New Roman"/>
          <w:bCs/>
          <w:color w:val="1C1D1E"/>
          <w:shd w:val="clear" w:color="auto" w:fill="FFFFFF"/>
        </w:rPr>
        <w:t>3492.</w:t>
      </w:r>
    </w:p>
    <w:p w14:paraId="06EEDF39" w14:textId="77777777" w:rsidR="002D6D99" w:rsidRPr="000B70C6" w:rsidRDefault="002D6D99" w:rsidP="54AFCCBD">
      <w:pPr>
        <w:spacing w:line="360" w:lineRule="auto"/>
        <w:rPr>
          <w:rFonts w:ascii="Times New Roman" w:eastAsia="Times New Roman" w:hAnsi="Times New Roman"/>
          <w:b/>
          <w:bCs/>
          <w:color w:val="1C1D1E"/>
        </w:rPr>
      </w:pPr>
    </w:p>
    <w:p w14:paraId="3A48C266" w14:textId="75DC4C5D" w:rsidR="00E76D73" w:rsidRPr="00E76D73" w:rsidRDefault="002D6D99" w:rsidP="00E76D73">
      <w:pPr>
        <w:spacing w:line="360" w:lineRule="auto"/>
        <w:rPr>
          <w:rFonts w:ascii="Times New Roman" w:eastAsia="Times New Roman" w:hAnsi="Times New Roman"/>
          <w:color w:val="1C1D1E"/>
          <w:shd w:val="clear" w:color="auto" w:fill="FFFFFF"/>
        </w:rPr>
      </w:pPr>
      <w:r w:rsidRPr="00E76D73">
        <w:rPr>
          <w:rFonts w:ascii="Times New Roman" w:eastAsia="Times New Roman" w:hAnsi="Times New Roman"/>
          <w:b/>
          <w:color w:val="1C1D1E"/>
          <w:shd w:val="clear" w:color="auto" w:fill="FFFFFF"/>
        </w:rPr>
        <w:t>Acknowledgments:</w:t>
      </w:r>
      <w:r w:rsidR="00E76D73" w:rsidRPr="00E76D73">
        <w:rPr>
          <w:rFonts w:ascii="Times New Roman" w:eastAsia="Times New Roman" w:hAnsi="Times New Roman"/>
          <w:color w:val="1C1D1E"/>
          <w:shd w:val="clear" w:color="auto" w:fill="FFFFFF"/>
        </w:rPr>
        <w:t xml:space="preserve"> This work was financially supported by the Spanish Directorate General of Scientific and Technical Research (Project PSI2014- 55316-C3-1-R) and by the Galician Government (Consellería de Cultura, Educa</w:t>
      </w:r>
      <w:r w:rsidR="00E76D73">
        <w:rPr>
          <w:rFonts w:ascii="Times New Roman" w:eastAsia="Times New Roman" w:hAnsi="Times New Roman"/>
          <w:color w:val="1C1D1E"/>
          <w:shd w:val="clear" w:color="auto" w:fill="FFFFFF"/>
        </w:rPr>
        <w:t>ción e Ordenación Universitaria -</w:t>
      </w:r>
      <w:r w:rsidR="00E76D73" w:rsidRPr="00E76D73">
        <w:rPr>
          <w:rFonts w:ascii="Times New Roman" w:eastAsia="Times New Roman" w:hAnsi="Times New Roman"/>
          <w:color w:val="1C1D1E"/>
          <w:shd w:val="clear" w:color="auto" w:fill="FFFFFF"/>
        </w:rPr>
        <w:t xml:space="preserve"> Programa de consolidación e estruturación 2017, GRC, GI-1807-USC, Ref: ED431C-2017/27; Axencia Galega de Innovación Rede Galega de Investigación en Demencias REGIDEM, http://regidem.imaisd.es)</w:t>
      </w:r>
      <w:r w:rsidR="00E76D73">
        <w:rPr>
          <w:rFonts w:ascii="Times New Roman" w:eastAsia="Times New Roman" w:hAnsi="Times New Roman"/>
          <w:color w:val="1C1D1E"/>
          <w:shd w:val="clear" w:color="auto" w:fill="FFFFFF"/>
        </w:rPr>
        <w:t>.</w:t>
      </w:r>
    </w:p>
    <w:p w14:paraId="460CFB4C" w14:textId="77777777" w:rsidR="002D6D99" w:rsidRPr="000B70C6" w:rsidRDefault="002D6D99" w:rsidP="54AFCCBD">
      <w:pPr>
        <w:spacing w:line="360" w:lineRule="auto"/>
        <w:rPr>
          <w:rFonts w:ascii="Times New Roman" w:eastAsia="Times New Roman" w:hAnsi="Times New Roman"/>
          <w:b/>
          <w:bCs/>
          <w:color w:val="1C1D1E"/>
        </w:rPr>
      </w:pPr>
    </w:p>
    <w:p w14:paraId="7B117716" w14:textId="77777777" w:rsidR="002D6D99" w:rsidRPr="000B70C6" w:rsidRDefault="002D6D99" w:rsidP="54AFCCBD">
      <w:pPr>
        <w:spacing w:line="360" w:lineRule="auto"/>
        <w:rPr>
          <w:rFonts w:ascii="Times New Roman" w:eastAsia="Times New Roman" w:hAnsi="Times New Roman"/>
          <w:color w:val="1C1D1E"/>
        </w:rPr>
      </w:pPr>
      <w:r w:rsidRPr="000B70C6">
        <w:rPr>
          <w:rFonts w:ascii="Times New Roman" w:eastAsia="Times New Roman" w:hAnsi="Times New Roman"/>
          <w:b/>
          <w:bCs/>
          <w:color w:val="1C1D1E"/>
          <w:shd w:val="clear" w:color="auto" w:fill="FFFFFF"/>
        </w:rPr>
        <w:t xml:space="preserve">Abstract </w:t>
      </w:r>
      <w:r w:rsidRPr="000B70C6">
        <w:rPr>
          <w:rFonts w:ascii="Times New Roman" w:eastAsia="Times New Roman" w:hAnsi="Times New Roman"/>
          <w:color w:val="1C1D1E"/>
          <w:shd w:val="clear" w:color="auto" w:fill="FFFFFF"/>
        </w:rPr>
        <w:t>(250 words)</w:t>
      </w:r>
      <w:r w:rsidR="00245F51">
        <w:rPr>
          <w:rFonts w:ascii="Times New Roman" w:eastAsia="Times New Roman" w:hAnsi="Times New Roman"/>
          <w:color w:val="1C1D1E"/>
          <w:shd w:val="clear" w:color="auto" w:fill="FFFFFF"/>
        </w:rPr>
        <w:t>:</w:t>
      </w:r>
    </w:p>
    <w:p w14:paraId="68127715" w14:textId="77777777" w:rsidR="0043405D" w:rsidRPr="000B70C6" w:rsidRDefault="0043405D" w:rsidP="54AFCCBD">
      <w:pPr>
        <w:spacing w:line="360" w:lineRule="auto"/>
        <w:rPr>
          <w:rFonts w:ascii="Times New Roman" w:eastAsia="Times New Roman" w:hAnsi="Times New Roman"/>
          <w:color w:val="1C1D1E"/>
          <w:shd w:val="clear" w:color="auto" w:fill="FFFFFF"/>
        </w:rPr>
      </w:pPr>
    </w:p>
    <w:p w14:paraId="276F56A5" w14:textId="77777777" w:rsidR="0043405D" w:rsidRPr="00245F51" w:rsidRDefault="0043405D" w:rsidP="0043405D">
      <w:pPr>
        <w:spacing w:line="360" w:lineRule="auto"/>
        <w:rPr>
          <w:rFonts w:ascii="Times New Roman" w:eastAsia="Times New Roman" w:hAnsi="Times New Roman"/>
          <w:color w:val="1C1D1E"/>
          <w:shd w:val="clear" w:color="auto" w:fill="FFFFFF"/>
        </w:rPr>
      </w:pPr>
      <w:r w:rsidRPr="00245F51">
        <w:rPr>
          <w:rFonts w:ascii="Times New Roman" w:eastAsia="Times New Roman" w:hAnsi="Times New Roman"/>
          <w:color w:val="1C1D1E"/>
          <w:shd w:val="clear" w:color="auto" w:fill="FFFFFF"/>
        </w:rPr>
        <w:t>Objectives:</w:t>
      </w:r>
      <w:r w:rsidR="00245F51" w:rsidRPr="00245F51">
        <w:rPr>
          <w:rFonts w:ascii="Times New Roman" w:eastAsia="Times New Roman" w:hAnsi="Times New Roman"/>
          <w:color w:val="1C1D1E"/>
          <w:shd w:val="clear" w:color="auto" w:fill="FFFFFF"/>
        </w:rPr>
        <w:t xml:space="preserve"> </w:t>
      </w:r>
      <w:r w:rsidR="000B70C6" w:rsidRPr="00245F51">
        <w:rPr>
          <w:rFonts w:ascii="Times New Roman" w:eastAsia="Times New Roman" w:hAnsi="Times New Roman"/>
          <w:color w:val="1C1D1E"/>
          <w:shd w:val="clear" w:color="auto" w:fill="FFFFFF"/>
        </w:rPr>
        <w:t xml:space="preserve">The overall aim of the present study </w:t>
      </w:r>
      <w:r w:rsidR="00EB60AD" w:rsidRPr="00245F51">
        <w:rPr>
          <w:rFonts w:ascii="Times New Roman" w:eastAsia="Times New Roman" w:hAnsi="Times New Roman"/>
          <w:color w:val="1C1D1E"/>
          <w:shd w:val="clear" w:color="auto" w:fill="FFFFFF"/>
        </w:rPr>
        <w:t>wa</w:t>
      </w:r>
      <w:r w:rsidR="000B70C6" w:rsidRPr="00245F51">
        <w:rPr>
          <w:rFonts w:ascii="Times New Roman" w:eastAsia="Times New Roman" w:hAnsi="Times New Roman"/>
          <w:color w:val="1C1D1E"/>
          <w:shd w:val="clear" w:color="auto" w:fill="FFFFFF"/>
        </w:rPr>
        <w:t xml:space="preserve">s to explore </w:t>
      </w:r>
      <w:r w:rsidRPr="00245F51">
        <w:rPr>
          <w:rFonts w:ascii="Times New Roman" w:eastAsia="Times New Roman" w:hAnsi="Times New Roman"/>
          <w:color w:val="1C1D1E"/>
          <w:shd w:val="clear" w:color="auto" w:fill="FFFFFF"/>
        </w:rPr>
        <w:t>the role of Cognitive Reserve</w:t>
      </w:r>
      <w:r w:rsidR="00B724B5" w:rsidRPr="00245F51">
        <w:rPr>
          <w:rFonts w:ascii="Times New Roman" w:eastAsia="Times New Roman" w:hAnsi="Times New Roman"/>
          <w:color w:val="1C1D1E"/>
          <w:shd w:val="clear" w:color="auto" w:fill="FFFFFF"/>
        </w:rPr>
        <w:t xml:space="preserve"> (CR)</w:t>
      </w:r>
      <w:r w:rsidRPr="00245F51">
        <w:rPr>
          <w:rFonts w:ascii="Times New Roman" w:eastAsia="Times New Roman" w:hAnsi="Times New Roman"/>
          <w:color w:val="1C1D1E"/>
          <w:shd w:val="clear" w:color="auto" w:fill="FFFFFF"/>
        </w:rPr>
        <w:t xml:space="preserve"> in </w:t>
      </w:r>
      <w:r w:rsidR="004C33D6" w:rsidRPr="00245F51">
        <w:rPr>
          <w:rFonts w:ascii="Times New Roman" w:eastAsia="Times New Roman" w:hAnsi="Times New Roman"/>
          <w:color w:val="1C1D1E"/>
          <w:shd w:val="clear" w:color="auto" w:fill="FFFFFF"/>
        </w:rPr>
        <w:t xml:space="preserve">the </w:t>
      </w:r>
      <w:r w:rsidRPr="00245F51">
        <w:rPr>
          <w:rFonts w:ascii="Times New Roman" w:eastAsia="Times New Roman" w:hAnsi="Times New Roman"/>
          <w:color w:val="1C1D1E"/>
          <w:shd w:val="clear" w:color="auto" w:fill="FFFFFF"/>
        </w:rPr>
        <w:t>conversion from Mild Cognitive Impairment</w:t>
      </w:r>
      <w:r w:rsidR="00B724B5" w:rsidRPr="00245F51">
        <w:rPr>
          <w:rFonts w:ascii="Times New Roman" w:eastAsia="Times New Roman" w:hAnsi="Times New Roman"/>
          <w:color w:val="1C1D1E"/>
          <w:shd w:val="clear" w:color="auto" w:fill="FFFFFF"/>
        </w:rPr>
        <w:t xml:space="preserve"> (MCI)</w:t>
      </w:r>
      <w:r w:rsidRPr="00245F51">
        <w:rPr>
          <w:rFonts w:ascii="Times New Roman" w:eastAsia="Times New Roman" w:hAnsi="Times New Roman"/>
          <w:color w:val="1C1D1E"/>
          <w:shd w:val="clear" w:color="auto" w:fill="FFFFFF"/>
        </w:rPr>
        <w:t xml:space="preserve"> to dementia. </w:t>
      </w:r>
      <w:r w:rsidR="004C33D6" w:rsidRPr="00245F51">
        <w:rPr>
          <w:rFonts w:ascii="Times New Roman" w:eastAsia="Times New Roman" w:hAnsi="Times New Roman"/>
          <w:color w:val="1C1D1E"/>
          <w:shd w:val="clear" w:color="auto" w:fill="FFFFFF"/>
        </w:rPr>
        <w:t>W</w:t>
      </w:r>
      <w:r w:rsidRPr="00245F51">
        <w:rPr>
          <w:rFonts w:ascii="Times New Roman" w:eastAsia="Times New Roman" w:hAnsi="Times New Roman"/>
          <w:color w:val="1C1D1E"/>
          <w:shd w:val="clear" w:color="auto" w:fill="FFFFFF"/>
        </w:rPr>
        <w:t>e</w:t>
      </w:r>
      <w:r w:rsidR="000B70C6" w:rsidRPr="00245F51">
        <w:rPr>
          <w:rFonts w:ascii="Times New Roman" w:eastAsia="Times New Roman" w:hAnsi="Times New Roman"/>
          <w:color w:val="1C1D1E"/>
          <w:shd w:val="clear" w:color="auto" w:fill="FFFFFF"/>
        </w:rPr>
        <w:t xml:space="preserve"> used</w:t>
      </w:r>
      <w:r w:rsidRPr="00245F51">
        <w:rPr>
          <w:rFonts w:ascii="Times New Roman" w:eastAsia="Times New Roman" w:hAnsi="Times New Roman"/>
          <w:color w:val="1C1D1E"/>
          <w:shd w:val="clear" w:color="auto" w:fill="FFFFFF"/>
        </w:rPr>
        <w:t xml:space="preserve"> </w:t>
      </w:r>
      <w:r w:rsidR="000B70C6" w:rsidRPr="00245F51">
        <w:rPr>
          <w:rFonts w:ascii="Times New Roman" w:eastAsia="Times New Roman" w:hAnsi="Times New Roman"/>
          <w:color w:val="1C1D1E"/>
          <w:shd w:val="clear" w:color="auto" w:fill="FFFFFF"/>
        </w:rPr>
        <w:t>traditional and Machine Learning</w:t>
      </w:r>
      <w:r w:rsidR="00B724B5" w:rsidRPr="00245F51">
        <w:rPr>
          <w:rFonts w:ascii="Times New Roman" w:eastAsia="Times New Roman" w:hAnsi="Times New Roman"/>
          <w:color w:val="1C1D1E"/>
          <w:shd w:val="clear" w:color="auto" w:fill="FFFFFF"/>
        </w:rPr>
        <w:t xml:space="preserve"> (ML)</w:t>
      </w:r>
      <w:r w:rsidR="000B70C6" w:rsidRPr="00245F51">
        <w:rPr>
          <w:rFonts w:ascii="Times New Roman" w:eastAsia="Times New Roman" w:hAnsi="Times New Roman"/>
          <w:color w:val="1C1D1E"/>
          <w:shd w:val="clear" w:color="auto" w:fill="FFFFFF"/>
        </w:rPr>
        <w:t xml:space="preserve"> techniques to </w:t>
      </w:r>
      <w:r w:rsidRPr="00245F51">
        <w:rPr>
          <w:rFonts w:ascii="Times New Roman" w:eastAsia="Times New Roman" w:hAnsi="Times New Roman"/>
          <w:color w:val="1C1D1E"/>
          <w:shd w:val="clear" w:color="auto" w:fill="FFFFFF"/>
        </w:rPr>
        <w:t xml:space="preserve">compare converter and non-converter participants. </w:t>
      </w:r>
      <w:r w:rsidR="000B70C6" w:rsidRPr="00245F51">
        <w:rPr>
          <w:rFonts w:ascii="Times New Roman" w:eastAsia="Times New Roman" w:hAnsi="Times New Roman"/>
          <w:color w:val="1C1D1E"/>
          <w:shd w:val="clear" w:color="auto" w:fill="FFFFFF"/>
        </w:rPr>
        <w:t>W</w:t>
      </w:r>
      <w:r w:rsidRPr="00245F51">
        <w:rPr>
          <w:rFonts w:ascii="Times New Roman" w:eastAsia="Times New Roman" w:hAnsi="Times New Roman"/>
          <w:color w:val="1C1D1E"/>
          <w:shd w:val="clear" w:color="auto" w:fill="FFFFFF"/>
        </w:rPr>
        <w:t xml:space="preserve">e </w:t>
      </w:r>
      <w:r w:rsidR="000B70C6" w:rsidRPr="00245F51">
        <w:rPr>
          <w:rFonts w:ascii="Times New Roman" w:eastAsia="Times New Roman" w:hAnsi="Times New Roman"/>
          <w:color w:val="1C1D1E"/>
          <w:shd w:val="clear" w:color="auto" w:fill="FFFFFF"/>
        </w:rPr>
        <w:t xml:space="preserve">also </w:t>
      </w:r>
      <w:r w:rsidRPr="00245F51">
        <w:rPr>
          <w:rFonts w:ascii="Times New Roman" w:eastAsia="Times New Roman" w:hAnsi="Times New Roman"/>
          <w:color w:val="1C1D1E"/>
          <w:shd w:val="clear" w:color="auto" w:fill="FFFFFF"/>
        </w:rPr>
        <w:t xml:space="preserve">discuss the predictive value of </w:t>
      </w:r>
      <w:r w:rsidR="00B724B5" w:rsidRPr="00245F51">
        <w:rPr>
          <w:rFonts w:ascii="Times New Roman" w:eastAsia="Times New Roman" w:hAnsi="Times New Roman"/>
          <w:color w:val="1C1D1E"/>
          <w:shd w:val="clear" w:color="auto" w:fill="FFFFFF"/>
        </w:rPr>
        <w:t>CR</w:t>
      </w:r>
      <w:r w:rsidRPr="00245F51">
        <w:rPr>
          <w:rFonts w:ascii="Times New Roman" w:eastAsia="Times New Roman" w:hAnsi="Times New Roman"/>
          <w:color w:val="1C1D1E"/>
          <w:shd w:val="clear" w:color="auto" w:fill="FFFFFF"/>
        </w:rPr>
        <w:t xml:space="preserve"> proxies </w:t>
      </w:r>
      <w:r w:rsidR="00264DB3" w:rsidRPr="00245F51">
        <w:rPr>
          <w:rFonts w:ascii="Times New Roman" w:eastAsia="Times New Roman" w:hAnsi="Times New Roman"/>
          <w:color w:val="1C1D1E"/>
          <w:shd w:val="clear" w:color="auto" w:fill="FFFFFF"/>
        </w:rPr>
        <w:t xml:space="preserve">in relation </w:t>
      </w:r>
      <w:r w:rsidRPr="00245F51">
        <w:rPr>
          <w:rFonts w:ascii="Times New Roman" w:eastAsia="Times New Roman" w:hAnsi="Times New Roman"/>
          <w:color w:val="1C1D1E"/>
          <w:shd w:val="clear" w:color="auto" w:fill="FFFFFF"/>
        </w:rPr>
        <w:t>to the ML model</w:t>
      </w:r>
      <w:r w:rsidR="004C33D6" w:rsidRPr="00245F51">
        <w:rPr>
          <w:rFonts w:ascii="Times New Roman" w:eastAsia="Times New Roman" w:hAnsi="Times New Roman"/>
          <w:color w:val="1C1D1E"/>
          <w:shd w:val="clear" w:color="auto" w:fill="FFFFFF"/>
        </w:rPr>
        <w:t xml:space="preserve"> performance</w:t>
      </w:r>
      <w:r w:rsidRPr="00245F51">
        <w:rPr>
          <w:rFonts w:ascii="Times New Roman" w:eastAsia="Times New Roman" w:hAnsi="Times New Roman"/>
          <w:color w:val="1C1D1E"/>
          <w:shd w:val="clear" w:color="auto" w:fill="FFFFFF"/>
        </w:rPr>
        <w:t xml:space="preserve">. Methods: </w:t>
      </w:r>
      <w:r w:rsidR="00245F51" w:rsidRPr="00245F51">
        <w:rPr>
          <w:rFonts w:ascii="Times New Roman" w:eastAsia="Times New Roman" w:hAnsi="Times New Roman"/>
          <w:color w:val="1C1D1E"/>
          <w:shd w:val="clear" w:color="auto" w:fill="FFFFFF"/>
        </w:rPr>
        <w:t xml:space="preserve"> </w:t>
      </w:r>
      <w:r w:rsidR="00264DB3" w:rsidRPr="00245F51">
        <w:rPr>
          <w:rFonts w:ascii="Times New Roman" w:hAnsi="Times New Roman"/>
        </w:rPr>
        <w:t xml:space="preserve">In </w:t>
      </w:r>
      <w:r w:rsidRPr="00245F51">
        <w:rPr>
          <w:rFonts w:ascii="Times New Roman" w:hAnsi="Times New Roman"/>
        </w:rPr>
        <w:t>total</w:t>
      </w:r>
      <w:r w:rsidR="00264DB3" w:rsidRPr="00245F51">
        <w:rPr>
          <w:rFonts w:ascii="Times New Roman" w:hAnsi="Times New Roman"/>
        </w:rPr>
        <w:t>,</w:t>
      </w:r>
      <w:r w:rsidRPr="00245F51">
        <w:rPr>
          <w:rFonts w:ascii="Times New Roman" w:hAnsi="Times New Roman"/>
        </w:rPr>
        <w:t xml:space="preserve"> 169 participants completed the longitudinal study</w:t>
      </w:r>
      <w:r w:rsidR="00051DC3" w:rsidRPr="00245F51">
        <w:rPr>
          <w:rFonts w:ascii="Times New Roman" w:hAnsi="Times New Roman"/>
        </w:rPr>
        <w:t xml:space="preserve">. Participants were divided </w:t>
      </w:r>
      <w:r w:rsidRPr="00245F51">
        <w:rPr>
          <w:rFonts w:ascii="Times New Roman" w:hAnsi="Times New Roman"/>
        </w:rPr>
        <w:t>in</w:t>
      </w:r>
      <w:r w:rsidR="007C311B" w:rsidRPr="00245F51">
        <w:rPr>
          <w:rFonts w:ascii="Times New Roman" w:hAnsi="Times New Roman"/>
        </w:rPr>
        <w:t>to</w:t>
      </w:r>
      <w:r w:rsidRPr="00245F51">
        <w:rPr>
          <w:rFonts w:ascii="Times New Roman" w:hAnsi="Times New Roman"/>
        </w:rPr>
        <w:t xml:space="preserve"> a control group and three MCI subgroups, according </w:t>
      </w:r>
      <w:r w:rsidR="00051DC3" w:rsidRPr="00245F51">
        <w:rPr>
          <w:rFonts w:ascii="Times New Roman" w:hAnsi="Times New Roman"/>
        </w:rPr>
        <w:t xml:space="preserve">to </w:t>
      </w:r>
      <w:r w:rsidRPr="00245F51">
        <w:rPr>
          <w:rFonts w:ascii="Times New Roman" w:hAnsi="Times New Roman"/>
        </w:rPr>
        <w:t>the Petersen criteria for diagnosis</w:t>
      </w:r>
      <w:r w:rsidRPr="00245F51">
        <w:rPr>
          <w:rFonts w:ascii="Times New Roman" w:eastAsia="Times New Roman" w:hAnsi="Times New Roman"/>
          <w:color w:val="1C1D1E"/>
          <w:shd w:val="clear" w:color="auto" w:fill="FFFFFF"/>
        </w:rPr>
        <w:t xml:space="preserve">. </w:t>
      </w:r>
      <w:r w:rsidR="00264DB3" w:rsidRPr="00245F51">
        <w:rPr>
          <w:rFonts w:ascii="Times New Roman" w:eastAsia="Times New Roman" w:hAnsi="Times New Roman"/>
          <w:color w:val="1C1D1E"/>
          <w:shd w:val="clear" w:color="auto" w:fill="FFFFFF"/>
        </w:rPr>
        <w:t>Information about</w:t>
      </w:r>
      <w:r w:rsidR="000B70C6" w:rsidRPr="00245F51">
        <w:rPr>
          <w:rFonts w:ascii="Times New Roman" w:eastAsia="Times New Roman" w:hAnsi="Times New Roman"/>
          <w:color w:val="1C1D1E"/>
          <w:shd w:val="clear" w:color="auto" w:fill="FFFFFF"/>
        </w:rPr>
        <w:t xml:space="preserve"> the participants </w:t>
      </w:r>
      <w:r w:rsidR="00264DB3" w:rsidRPr="00245F51">
        <w:rPr>
          <w:rFonts w:ascii="Times New Roman" w:eastAsia="Times New Roman" w:hAnsi="Times New Roman"/>
          <w:color w:val="1C1D1E"/>
          <w:shd w:val="clear" w:color="auto" w:fill="FFFFFF"/>
        </w:rPr>
        <w:t>was compared using</w:t>
      </w:r>
      <w:r w:rsidR="00051DC3" w:rsidRPr="00245F51">
        <w:rPr>
          <w:rFonts w:ascii="Times New Roman" w:eastAsia="Times New Roman" w:hAnsi="Times New Roman"/>
          <w:color w:val="1C1D1E"/>
          <w:shd w:val="clear" w:color="auto" w:fill="FFFFFF"/>
        </w:rPr>
        <w:t xml:space="preserve"> 9 </w:t>
      </w:r>
      <w:r w:rsidR="00B724B5" w:rsidRPr="00245F51">
        <w:rPr>
          <w:rFonts w:ascii="Times New Roman" w:eastAsia="Times New Roman" w:hAnsi="Times New Roman"/>
          <w:color w:val="1C1D1E"/>
          <w:shd w:val="clear" w:color="auto" w:fill="FFFFFF"/>
        </w:rPr>
        <w:t>ML</w:t>
      </w:r>
      <w:r w:rsidRPr="00245F51">
        <w:rPr>
          <w:rFonts w:ascii="Times New Roman" w:eastAsia="Times New Roman" w:hAnsi="Times New Roman"/>
          <w:color w:val="1C1D1E"/>
          <w:shd w:val="clear" w:color="auto" w:fill="FFFFFF"/>
        </w:rPr>
        <w:t xml:space="preserve"> classification techniques</w:t>
      </w:r>
      <w:r w:rsidR="00264DB3" w:rsidRPr="00245F51">
        <w:rPr>
          <w:rFonts w:ascii="Times New Roman" w:eastAsia="Times New Roman" w:hAnsi="Times New Roman"/>
          <w:color w:val="1C1D1E"/>
          <w:shd w:val="clear" w:color="auto" w:fill="FFFFFF"/>
        </w:rPr>
        <w:t>.</w:t>
      </w:r>
      <w:r w:rsidRPr="00245F51">
        <w:rPr>
          <w:rFonts w:ascii="Times New Roman" w:eastAsia="Times New Roman" w:hAnsi="Times New Roman"/>
          <w:color w:val="1C1D1E"/>
          <w:shd w:val="clear" w:color="auto" w:fill="FFFFFF"/>
        </w:rPr>
        <w:t xml:space="preserve"> </w:t>
      </w:r>
      <w:r w:rsidR="00264DB3" w:rsidRPr="00245F51">
        <w:rPr>
          <w:rFonts w:ascii="Times New Roman" w:eastAsia="Times New Roman" w:hAnsi="Times New Roman"/>
          <w:color w:val="1C1D1E"/>
          <w:shd w:val="clear" w:color="auto" w:fill="FFFFFF"/>
        </w:rPr>
        <w:t>Seven</w:t>
      </w:r>
      <w:r w:rsidR="00051DC3" w:rsidRPr="00245F51">
        <w:rPr>
          <w:rFonts w:ascii="Times New Roman" w:eastAsia="Times New Roman" w:hAnsi="Times New Roman"/>
          <w:color w:val="1C1D1E"/>
          <w:shd w:val="clear" w:color="auto" w:fill="FFFFFF"/>
        </w:rPr>
        <w:t xml:space="preserve"> </w:t>
      </w:r>
      <w:r w:rsidRPr="00245F51">
        <w:rPr>
          <w:rFonts w:ascii="Times New Roman" w:eastAsia="Times New Roman" w:hAnsi="Times New Roman"/>
          <w:color w:val="1C1D1E"/>
          <w:shd w:val="clear" w:color="auto" w:fill="FFFFFF"/>
        </w:rPr>
        <w:t>relevant performance metrics were computed</w:t>
      </w:r>
      <w:r w:rsidR="00051DC3" w:rsidRPr="00245F51">
        <w:rPr>
          <w:rFonts w:ascii="Times New Roman" w:eastAsia="Times New Roman" w:hAnsi="Times New Roman"/>
          <w:color w:val="1C1D1E"/>
          <w:shd w:val="clear" w:color="auto" w:fill="FFFFFF"/>
        </w:rPr>
        <w:t xml:space="preserve"> in order</w:t>
      </w:r>
      <w:r w:rsidRPr="00245F51">
        <w:rPr>
          <w:rFonts w:ascii="Times New Roman" w:eastAsia="Times New Roman" w:hAnsi="Times New Roman"/>
          <w:color w:val="1C1D1E"/>
          <w:shd w:val="clear" w:color="auto" w:fill="FFFFFF"/>
        </w:rPr>
        <w:t xml:space="preserve"> to </w:t>
      </w:r>
      <w:r w:rsidR="00051DC3" w:rsidRPr="00245F51">
        <w:rPr>
          <w:rFonts w:ascii="Times New Roman" w:eastAsia="Times New Roman" w:hAnsi="Times New Roman"/>
          <w:color w:val="1C1D1E"/>
          <w:shd w:val="clear" w:color="auto" w:fill="FFFFFF"/>
        </w:rPr>
        <w:t>evaluate t</w:t>
      </w:r>
      <w:r w:rsidRPr="00245F51">
        <w:rPr>
          <w:rFonts w:ascii="Times New Roman" w:eastAsia="Times New Roman" w:hAnsi="Times New Roman"/>
          <w:color w:val="1C1D1E"/>
          <w:shd w:val="clear" w:color="auto" w:fill="FFFFFF"/>
        </w:rPr>
        <w:t xml:space="preserve">he </w:t>
      </w:r>
      <w:r w:rsidR="00051DC3" w:rsidRPr="00245F51">
        <w:rPr>
          <w:rFonts w:ascii="Times New Roman" w:eastAsia="Times New Roman" w:hAnsi="Times New Roman"/>
          <w:color w:val="1C1D1E"/>
          <w:shd w:val="clear" w:color="auto" w:fill="FFFFFF"/>
        </w:rPr>
        <w:t xml:space="preserve">accuracy of </w:t>
      </w:r>
      <w:r w:rsidRPr="00245F51">
        <w:rPr>
          <w:rFonts w:ascii="Times New Roman" w:eastAsia="Times New Roman" w:hAnsi="Times New Roman"/>
          <w:color w:val="1C1D1E"/>
          <w:shd w:val="clear" w:color="auto" w:fill="FFFFFF"/>
        </w:rPr>
        <w:t xml:space="preserve">prediction </w:t>
      </w:r>
      <w:r w:rsidR="00051DC3" w:rsidRPr="00245F51">
        <w:rPr>
          <w:rFonts w:ascii="Times New Roman" w:eastAsia="Times New Roman" w:hAnsi="Times New Roman"/>
          <w:color w:val="1C1D1E"/>
          <w:shd w:val="clear" w:color="auto" w:fill="FFFFFF"/>
        </w:rPr>
        <w:t xml:space="preserve">regarding </w:t>
      </w:r>
      <w:r w:rsidRPr="00245F51">
        <w:rPr>
          <w:rFonts w:ascii="Times New Roman" w:eastAsia="Times New Roman" w:hAnsi="Times New Roman"/>
          <w:color w:val="1C1D1E"/>
          <w:shd w:val="clear" w:color="auto" w:fill="FFFFFF"/>
        </w:rPr>
        <w:t>converter and non-converter participants</w:t>
      </w:r>
      <w:r w:rsidRPr="00245F51">
        <w:rPr>
          <w:rFonts w:ascii="Times New Roman" w:hAnsi="Times New Roman"/>
          <w:color w:val="222222"/>
          <w:szCs w:val="18"/>
          <w:shd w:val="clear" w:color="auto" w:fill="FFFFFF"/>
        </w:rPr>
        <w:t>.</w:t>
      </w:r>
      <w:r w:rsidR="00245F51" w:rsidRPr="00245F51">
        <w:rPr>
          <w:rFonts w:ascii="Times New Roman" w:eastAsia="Times New Roman" w:hAnsi="Times New Roman"/>
          <w:color w:val="1C1D1E"/>
          <w:shd w:val="clear" w:color="auto" w:fill="FFFFFF"/>
        </w:rPr>
        <w:t xml:space="preserve"> </w:t>
      </w:r>
      <w:r w:rsidRPr="00245F51">
        <w:rPr>
          <w:rFonts w:ascii="Times New Roman" w:eastAsia="Times New Roman" w:hAnsi="Times New Roman"/>
          <w:color w:val="1C1D1E"/>
          <w:shd w:val="clear" w:color="auto" w:fill="FFFFFF"/>
        </w:rPr>
        <w:t>Results:</w:t>
      </w:r>
      <w:r w:rsidR="00245F51" w:rsidRPr="00245F51">
        <w:rPr>
          <w:rFonts w:ascii="Times New Roman" w:eastAsia="Times New Roman" w:hAnsi="Times New Roman"/>
          <w:color w:val="1C1D1E"/>
          <w:shd w:val="clear" w:color="auto" w:fill="FFFFFF"/>
        </w:rPr>
        <w:t xml:space="preserve"> </w:t>
      </w:r>
      <w:r w:rsidR="00051DC3" w:rsidRPr="00245F51">
        <w:rPr>
          <w:rFonts w:ascii="Times New Roman" w:hAnsi="Times New Roman"/>
        </w:rPr>
        <w:t xml:space="preserve">ML algorithms </w:t>
      </w:r>
      <w:r w:rsidR="00264DB3" w:rsidRPr="00245F51">
        <w:rPr>
          <w:rFonts w:ascii="Times New Roman" w:hAnsi="Times New Roman"/>
        </w:rPr>
        <w:t xml:space="preserve">applied </w:t>
      </w:r>
      <w:r w:rsidR="00051DC3" w:rsidRPr="00245F51">
        <w:rPr>
          <w:rFonts w:ascii="Times New Roman" w:hAnsi="Times New Roman"/>
        </w:rPr>
        <w:t xml:space="preserve">to </w:t>
      </w:r>
      <w:r w:rsidRPr="00245F51">
        <w:rPr>
          <w:rFonts w:ascii="Times New Roman" w:hAnsi="Times New Roman"/>
        </w:rPr>
        <w:t xml:space="preserve">socio-demographic, basic health and CR </w:t>
      </w:r>
      <w:r w:rsidR="00051DC3" w:rsidRPr="00245F51">
        <w:rPr>
          <w:rFonts w:ascii="Times New Roman" w:hAnsi="Times New Roman"/>
        </w:rPr>
        <w:t>proxy data</w:t>
      </w:r>
      <w:r w:rsidRPr="00245F51">
        <w:rPr>
          <w:rFonts w:ascii="Times New Roman" w:hAnsi="Times New Roman"/>
        </w:rPr>
        <w:t xml:space="preserve"> </w:t>
      </w:r>
      <w:r w:rsidR="00051DC3" w:rsidRPr="00245F51">
        <w:rPr>
          <w:rFonts w:ascii="Times New Roman" w:hAnsi="Times New Roman"/>
        </w:rPr>
        <w:t>enabled</w:t>
      </w:r>
      <w:r w:rsidRPr="00245F51">
        <w:rPr>
          <w:rFonts w:ascii="Times New Roman" w:hAnsi="Times New Roman"/>
        </w:rPr>
        <w:t xml:space="preserve"> predict</w:t>
      </w:r>
      <w:r w:rsidR="00051DC3" w:rsidRPr="00245F51">
        <w:rPr>
          <w:rFonts w:ascii="Times New Roman" w:hAnsi="Times New Roman"/>
        </w:rPr>
        <w:t>ion of</w:t>
      </w:r>
      <w:r w:rsidRPr="00245F51">
        <w:rPr>
          <w:rFonts w:ascii="Times New Roman" w:hAnsi="Times New Roman"/>
        </w:rPr>
        <w:t xml:space="preserve"> conversion to dementia. </w:t>
      </w:r>
      <w:r w:rsidR="00051DC3" w:rsidRPr="00245F51">
        <w:rPr>
          <w:rFonts w:ascii="Times New Roman" w:hAnsi="Times New Roman"/>
        </w:rPr>
        <w:t>The</w:t>
      </w:r>
      <w:r w:rsidRPr="00245F51">
        <w:rPr>
          <w:rFonts w:ascii="Times New Roman" w:hAnsi="Times New Roman"/>
        </w:rPr>
        <w:t xml:space="preserve"> </w:t>
      </w:r>
      <w:r w:rsidR="007C311B" w:rsidRPr="00245F51">
        <w:rPr>
          <w:rFonts w:ascii="Times New Roman" w:hAnsi="Times New Roman"/>
        </w:rPr>
        <w:t xml:space="preserve">best performing models were the </w:t>
      </w:r>
      <w:r w:rsidRPr="00245F51">
        <w:rPr>
          <w:rFonts w:ascii="Times New Roman" w:hAnsi="Times New Roman"/>
        </w:rPr>
        <w:t xml:space="preserve">Gradient Boosting Classifier </w:t>
      </w:r>
      <w:r w:rsidRPr="00245F51">
        <w:rPr>
          <w:rFonts w:ascii="Times New Roman" w:hAnsi="Times New Roman"/>
          <w:color w:val="222222"/>
          <w:szCs w:val="18"/>
          <w:shd w:val="clear" w:color="auto" w:fill="FFFFFF"/>
        </w:rPr>
        <w:t xml:space="preserve">(ACC= 0.93; F1=0.86 and Cohen’s kappa=0.82) </w:t>
      </w:r>
      <w:r w:rsidRPr="00245F51">
        <w:rPr>
          <w:rFonts w:ascii="Times New Roman" w:hAnsi="Times New Roman"/>
        </w:rPr>
        <w:t xml:space="preserve">and Random Forest Classifier </w:t>
      </w:r>
      <w:r w:rsidRPr="00245F51">
        <w:rPr>
          <w:rFonts w:ascii="Times New Roman" w:hAnsi="Times New Roman"/>
          <w:color w:val="222222"/>
          <w:szCs w:val="18"/>
          <w:shd w:val="clear" w:color="auto" w:fill="FFFFFF"/>
        </w:rPr>
        <w:t>(ACC= 0.92; F1=0.79 and Cohen’s kappa=0.71)</w:t>
      </w:r>
      <w:r w:rsidRPr="00245F51">
        <w:rPr>
          <w:rFonts w:ascii="Times New Roman" w:hAnsi="Times New Roman"/>
        </w:rPr>
        <w:t xml:space="preserve">. </w:t>
      </w:r>
      <w:r w:rsidR="007C311B" w:rsidRPr="00245F51">
        <w:rPr>
          <w:rFonts w:ascii="Times New Roman" w:hAnsi="Times New Roman"/>
        </w:rPr>
        <w:t xml:space="preserve">Use of </w:t>
      </w:r>
      <w:r w:rsidRPr="00245F51">
        <w:rPr>
          <w:rFonts w:ascii="Times New Roman" w:hAnsi="Times New Roman"/>
        </w:rPr>
        <w:t xml:space="preserve">ML techniques </w:t>
      </w:r>
      <w:r w:rsidR="00051DC3" w:rsidRPr="00245F51">
        <w:rPr>
          <w:rFonts w:ascii="Times New Roman" w:hAnsi="Times New Roman"/>
        </w:rPr>
        <w:t xml:space="preserve">corroborated </w:t>
      </w:r>
      <w:r w:rsidRPr="00245F51">
        <w:rPr>
          <w:rFonts w:ascii="Times New Roman" w:hAnsi="Times New Roman"/>
        </w:rPr>
        <w:t>the protective role of CR as a mediator of conversion to dementia</w:t>
      </w:r>
      <w:r w:rsidR="00264DB3" w:rsidRPr="00245F51">
        <w:rPr>
          <w:rFonts w:ascii="Times New Roman" w:hAnsi="Times New Roman"/>
        </w:rPr>
        <w:t>, whereby</w:t>
      </w:r>
      <w:r w:rsidRPr="00245F51">
        <w:rPr>
          <w:rFonts w:ascii="Times New Roman" w:hAnsi="Times New Roman"/>
        </w:rPr>
        <w:t xml:space="preserve"> participants with </w:t>
      </w:r>
      <w:r w:rsidR="004662EA" w:rsidRPr="00245F51">
        <w:rPr>
          <w:rFonts w:ascii="Times New Roman" w:hAnsi="Times New Roman"/>
        </w:rPr>
        <w:t xml:space="preserve">more years of education and </w:t>
      </w:r>
      <w:r w:rsidRPr="00245F51">
        <w:rPr>
          <w:rFonts w:ascii="Times New Roman" w:hAnsi="Times New Roman"/>
        </w:rPr>
        <w:t>high</w:t>
      </w:r>
      <w:r w:rsidR="004662EA" w:rsidRPr="00245F51">
        <w:rPr>
          <w:rFonts w:ascii="Times New Roman" w:hAnsi="Times New Roman"/>
        </w:rPr>
        <w:t xml:space="preserve">er vocabulary scores </w:t>
      </w:r>
      <w:r w:rsidRPr="00245F51">
        <w:rPr>
          <w:rFonts w:ascii="Times New Roman" w:hAnsi="Times New Roman"/>
        </w:rPr>
        <w:t xml:space="preserve">survived longer without developing </w:t>
      </w:r>
      <w:r w:rsidR="004662EA" w:rsidRPr="00245F51">
        <w:rPr>
          <w:rFonts w:ascii="Times New Roman" w:hAnsi="Times New Roman"/>
        </w:rPr>
        <w:t>dementia</w:t>
      </w:r>
      <w:r w:rsidRPr="00245F51">
        <w:rPr>
          <w:rFonts w:ascii="Times New Roman" w:hAnsi="Times New Roman"/>
        </w:rPr>
        <w:t>.</w:t>
      </w:r>
      <w:r w:rsidR="00245F51" w:rsidRPr="00245F51">
        <w:rPr>
          <w:rFonts w:ascii="Times New Roman" w:eastAsia="Times New Roman" w:hAnsi="Times New Roman"/>
          <w:color w:val="1C1D1E"/>
          <w:shd w:val="clear" w:color="auto" w:fill="FFFFFF"/>
        </w:rPr>
        <w:t xml:space="preserve"> </w:t>
      </w:r>
      <w:r w:rsidRPr="00245F51">
        <w:rPr>
          <w:rFonts w:ascii="Times New Roman" w:eastAsia="Times New Roman" w:hAnsi="Times New Roman"/>
          <w:color w:val="1C1D1E"/>
          <w:shd w:val="clear" w:color="auto" w:fill="FFFFFF"/>
        </w:rPr>
        <w:t>Conclusions:</w:t>
      </w:r>
      <w:r w:rsidR="00245F51" w:rsidRPr="00245F51">
        <w:rPr>
          <w:rFonts w:ascii="Times New Roman" w:eastAsia="Times New Roman" w:hAnsi="Times New Roman"/>
          <w:color w:val="1C1D1E"/>
          <w:shd w:val="clear" w:color="auto" w:fill="FFFFFF"/>
        </w:rPr>
        <w:t xml:space="preserve"> </w:t>
      </w:r>
      <w:r w:rsidR="004C33D6" w:rsidRPr="00245F51">
        <w:rPr>
          <w:rFonts w:ascii="Times New Roman" w:eastAsia="Times New Roman" w:hAnsi="Times New Roman"/>
          <w:color w:val="1C1D1E"/>
          <w:shd w:val="clear" w:color="auto" w:fill="FFFFFF"/>
        </w:rPr>
        <w:t>W</w:t>
      </w:r>
      <w:r w:rsidRPr="00245F51">
        <w:rPr>
          <w:rFonts w:ascii="Times New Roman" w:hAnsi="Times New Roman"/>
        </w:rPr>
        <w:t xml:space="preserve">e </w:t>
      </w:r>
      <w:r w:rsidR="00051DC3" w:rsidRPr="00245F51">
        <w:rPr>
          <w:rFonts w:ascii="Times New Roman" w:hAnsi="Times New Roman"/>
        </w:rPr>
        <w:t>used ML approaches</w:t>
      </w:r>
      <w:r w:rsidR="00051DC3" w:rsidRPr="00245F51" w:rsidDel="00051DC3">
        <w:rPr>
          <w:rFonts w:ascii="Times New Roman" w:hAnsi="Times New Roman"/>
        </w:rPr>
        <w:t xml:space="preserve"> </w:t>
      </w:r>
      <w:r w:rsidR="00051DC3" w:rsidRPr="00245F51">
        <w:rPr>
          <w:rFonts w:ascii="Times New Roman" w:hAnsi="Times New Roman"/>
        </w:rPr>
        <w:t xml:space="preserve">to </w:t>
      </w:r>
      <w:r w:rsidRPr="00245F51">
        <w:rPr>
          <w:rFonts w:ascii="Times New Roman" w:hAnsi="Times New Roman"/>
        </w:rPr>
        <w:t xml:space="preserve">explore the role of CR in conversion from MCI to dementia. </w:t>
      </w:r>
      <w:r w:rsidR="00051DC3" w:rsidRPr="00245F51">
        <w:rPr>
          <w:rFonts w:ascii="Times New Roman" w:hAnsi="Times New Roman"/>
        </w:rPr>
        <w:t xml:space="preserve">The findings </w:t>
      </w:r>
      <w:r w:rsidR="007C311B" w:rsidRPr="00245F51">
        <w:rPr>
          <w:rFonts w:ascii="Times New Roman" w:hAnsi="Times New Roman"/>
        </w:rPr>
        <w:t xml:space="preserve">indicate </w:t>
      </w:r>
      <w:r w:rsidRPr="00245F51">
        <w:rPr>
          <w:rFonts w:ascii="Times New Roman" w:hAnsi="Times New Roman"/>
        </w:rPr>
        <w:t xml:space="preserve">the </w:t>
      </w:r>
      <w:r w:rsidR="007C311B" w:rsidRPr="00245F51">
        <w:rPr>
          <w:rFonts w:ascii="Times New Roman" w:hAnsi="Times New Roman"/>
        </w:rPr>
        <w:t xml:space="preserve">potential </w:t>
      </w:r>
      <w:r w:rsidR="004C33D6" w:rsidRPr="00245F51">
        <w:rPr>
          <w:rFonts w:ascii="Times New Roman" w:hAnsi="Times New Roman"/>
        </w:rPr>
        <w:t xml:space="preserve">value </w:t>
      </w:r>
      <w:r w:rsidRPr="00245F51">
        <w:rPr>
          <w:rFonts w:ascii="Times New Roman" w:hAnsi="Times New Roman"/>
        </w:rPr>
        <w:t>of ML algorithms for detecting risk of conversion to dementia in cognitive aging and CR studies</w:t>
      </w:r>
      <w:r w:rsidRPr="00245F51">
        <w:rPr>
          <w:rFonts w:ascii="Times New Roman" w:eastAsia="Times New Roman" w:hAnsi="Times New Roman"/>
          <w:color w:val="1C1D1E"/>
          <w:shd w:val="clear" w:color="auto" w:fill="FFFFFF"/>
        </w:rPr>
        <w:t xml:space="preserve">. </w:t>
      </w:r>
      <w:r w:rsidR="00264DB3" w:rsidRPr="00245F51">
        <w:rPr>
          <w:rFonts w:ascii="Times New Roman" w:hAnsi="Times New Roman"/>
        </w:rPr>
        <w:t>Further research is required</w:t>
      </w:r>
      <w:r w:rsidRPr="00245F51">
        <w:rPr>
          <w:rFonts w:ascii="Times New Roman" w:hAnsi="Times New Roman"/>
        </w:rPr>
        <w:t xml:space="preserve"> to </w:t>
      </w:r>
      <w:r w:rsidR="00051DC3" w:rsidRPr="00245F51">
        <w:rPr>
          <w:rFonts w:ascii="Times New Roman" w:hAnsi="Times New Roman"/>
        </w:rPr>
        <w:t xml:space="preserve">develop </w:t>
      </w:r>
      <w:r w:rsidRPr="00245F51">
        <w:rPr>
          <w:rFonts w:ascii="Times New Roman" w:hAnsi="Times New Roman"/>
        </w:rPr>
        <w:t>a</w:t>
      </w:r>
      <w:r w:rsidR="00264DB3" w:rsidRPr="00245F51">
        <w:rPr>
          <w:rFonts w:ascii="Times New Roman" w:hAnsi="Times New Roman"/>
        </w:rPr>
        <w:t xml:space="preserve">n ML-based </w:t>
      </w:r>
      <w:r w:rsidRPr="00245F51">
        <w:rPr>
          <w:rFonts w:ascii="Times New Roman" w:hAnsi="Times New Roman"/>
        </w:rPr>
        <w:t xml:space="preserve">procedure </w:t>
      </w:r>
      <w:r w:rsidR="00051DC3" w:rsidRPr="00245F51">
        <w:rPr>
          <w:rFonts w:ascii="Times New Roman" w:hAnsi="Times New Roman"/>
        </w:rPr>
        <w:t xml:space="preserve">that can be used </w:t>
      </w:r>
      <w:r w:rsidRPr="00245F51">
        <w:rPr>
          <w:rFonts w:ascii="Times New Roman" w:hAnsi="Times New Roman"/>
        </w:rPr>
        <w:t xml:space="preserve">to make </w:t>
      </w:r>
      <w:r w:rsidR="00051DC3" w:rsidRPr="00245F51">
        <w:rPr>
          <w:rFonts w:ascii="Times New Roman" w:hAnsi="Times New Roman"/>
        </w:rPr>
        <w:t xml:space="preserve">robust </w:t>
      </w:r>
      <w:r w:rsidRPr="00245F51">
        <w:rPr>
          <w:rFonts w:ascii="Times New Roman" w:hAnsi="Times New Roman"/>
        </w:rPr>
        <w:t>predictions.</w:t>
      </w:r>
    </w:p>
    <w:p w14:paraId="755BAEA3" w14:textId="77777777" w:rsidR="0043405D" w:rsidRPr="000B70C6" w:rsidRDefault="0043405D" w:rsidP="0043405D">
      <w:pPr>
        <w:spacing w:line="360" w:lineRule="auto"/>
        <w:rPr>
          <w:rFonts w:ascii="Times New Roman" w:eastAsia="Times New Roman" w:hAnsi="Times New Roman"/>
          <w:color w:val="1C1D1E"/>
          <w:shd w:val="clear" w:color="auto" w:fill="FFFFFF"/>
        </w:rPr>
      </w:pPr>
    </w:p>
    <w:p w14:paraId="594793FB" w14:textId="77777777" w:rsidR="0043405D" w:rsidRPr="000B70C6" w:rsidRDefault="0043405D" w:rsidP="0043405D">
      <w:pPr>
        <w:spacing w:line="360" w:lineRule="auto"/>
        <w:rPr>
          <w:rFonts w:ascii="Times New Roman" w:eastAsia="Times New Roman" w:hAnsi="Times New Roman"/>
          <w:color w:val="1C1D1E"/>
          <w:shd w:val="clear" w:color="auto" w:fill="FFFFFF"/>
        </w:rPr>
      </w:pPr>
      <w:r w:rsidRPr="000B70C6">
        <w:rPr>
          <w:rFonts w:ascii="Times New Roman" w:eastAsia="Times New Roman" w:hAnsi="Times New Roman"/>
          <w:b/>
          <w:bCs/>
          <w:color w:val="1C1D1E"/>
          <w:shd w:val="clear" w:color="auto" w:fill="FFFFFF"/>
        </w:rPr>
        <w:t>Keywords:</w:t>
      </w:r>
      <w:r w:rsidRPr="000B70C6">
        <w:rPr>
          <w:rFonts w:ascii="Times New Roman" w:eastAsia="Times New Roman" w:hAnsi="Times New Roman"/>
          <w:color w:val="1C1D1E"/>
          <w:shd w:val="clear" w:color="auto" w:fill="FFFFFF"/>
        </w:rPr>
        <w:t xml:space="preserve"> cognitive reserve; </w:t>
      </w:r>
      <w:r w:rsidR="004662EA" w:rsidRPr="000B70C6">
        <w:rPr>
          <w:rFonts w:ascii="Times New Roman" w:eastAsia="Times New Roman" w:hAnsi="Times New Roman"/>
          <w:color w:val="1C1D1E"/>
          <w:shd w:val="clear" w:color="auto" w:fill="FFFFFF"/>
        </w:rPr>
        <w:t>educational level; vocabulary; diagnostic transitions;</w:t>
      </w:r>
      <w:r w:rsidRPr="000B70C6">
        <w:rPr>
          <w:rFonts w:ascii="Times New Roman" w:eastAsia="Times New Roman" w:hAnsi="Times New Roman"/>
          <w:color w:val="1C1D1E"/>
          <w:shd w:val="clear" w:color="auto" w:fill="FFFFFF"/>
        </w:rPr>
        <w:t xml:space="preserve"> dementia; machine learning; mild cognitive impairment; supervised learning; </w:t>
      </w:r>
      <w:r w:rsidR="004662EA" w:rsidRPr="000B70C6">
        <w:t>Gradient Boosting Classifier; Random Forest Classifier.</w:t>
      </w:r>
    </w:p>
    <w:p w14:paraId="2A04EC43" w14:textId="77777777" w:rsidR="0043405D" w:rsidRPr="000B70C6" w:rsidRDefault="0043405D" w:rsidP="0043405D">
      <w:pPr>
        <w:spacing w:line="360" w:lineRule="auto"/>
        <w:rPr>
          <w:rFonts w:ascii="Times New Roman" w:eastAsia="Times New Roman" w:hAnsi="Times New Roman"/>
          <w:color w:val="1C1D1E"/>
          <w:shd w:val="clear" w:color="auto" w:fill="FFFFFF"/>
        </w:rPr>
      </w:pPr>
      <w:r w:rsidRPr="000B70C6">
        <w:rPr>
          <w:rFonts w:ascii="Times New Roman" w:eastAsia="Times New Roman" w:hAnsi="Times New Roman"/>
          <w:color w:val="1C1D1E"/>
          <w:shd w:val="clear" w:color="auto" w:fill="FFFFFF"/>
        </w:rPr>
        <w:t xml:space="preserve">(3-10 words). </w:t>
      </w:r>
    </w:p>
    <w:p w14:paraId="19E88548" w14:textId="77777777" w:rsidR="0043405D" w:rsidRPr="000B70C6" w:rsidRDefault="0043405D" w:rsidP="0043405D">
      <w:pPr>
        <w:spacing w:line="360" w:lineRule="auto"/>
        <w:rPr>
          <w:rFonts w:ascii="Times New Roman" w:eastAsia="Times New Roman" w:hAnsi="Times New Roman"/>
          <w:color w:val="1C1D1E"/>
          <w:shd w:val="clear" w:color="auto" w:fill="FFFFFF"/>
        </w:rPr>
      </w:pPr>
    </w:p>
    <w:p w14:paraId="084DE4D1" w14:textId="77777777" w:rsidR="0043405D" w:rsidRPr="005E2A8B" w:rsidRDefault="0043405D" w:rsidP="0043405D">
      <w:pPr>
        <w:spacing w:line="360" w:lineRule="auto"/>
        <w:rPr>
          <w:rFonts w:ascii="Times New Roman" w:eastAsia="Times New Roman" w:hAnsi="Times New Roman"/>
          <w:color w:val="1C1D1E"/>
        </w:rPr>
      </w:pPr>
      <w:r w:rsidRPr="000B70C6">
        <w:rPr>
          <w:rFonts w:ascii="Times New Roman" w:eastAsia="Times New Roman" w:hAnsi="Times New Roman"/>
          <w:b/>
          <w:bCs/>
          <w:color w:val="1C1D1E"/>
          <w:shd w:val="clear" w:color="auto" w:fill="FFFFFF"/>
        </w:rPr>
        <w:t>Key-points:</w:t>
      </w:r>
      <w:r w:rsidRPr="000B70C6">
        <w:rPr>
          <w:rFonts w:ascii="Times New Roman" w:eastAsia="Times New Roman" w:hAnsi="Times New Roman"/>
          <w:color w:val="1C1D1E"/>
          <w:shd w:val="clear" w:color="auto" w:fill="FFFFFF"/>
        </w:rPr>
        <w:t xml:space="preserve"> (4 key-points)</w:t>
      </w:r>
      <w:r w:rsidR="004662EA" w:rsidRPr="000B70C6">
        <w:rPr>
          <w:rFonts w:ascii="Times New Roman" w:eastAsia="Times New Roman" w:hAnsi="Times New Roman"/>
          <w:color w:val="1C1D1E"/>
          <w:shd w:val="clear" w:color="auto" w:fill="FFFFFF"/>
        </w:rPr>
        <w:t>:</w:t>
      </w:r>
      <w:r w:rsidRPr="000B70C6">
        <w:rPr>
          <w:rFonts w:ascii="Times New Roman" w:eastAsia="Times New Roman" w:hAnsi="Times New Roman"/>
          <w:color w:val="1C1D1E"/>
        </w:rPr>
        <w:br/>
      </w:r>
      <w:r w:rsidR="004662EA" w:rsidRPr="005E2A8B">
        <w:rPr>
          <w:rFonts w:ascii="Times New Roman" w:eastAsia="Times New Roman" w:hAnsi="Times New Roman"/>
          <w:color w:val="1C1D1E"/>
        </w:rPr>
        <w:t xml:space="preserve">- Machine learning models using cognitive reserve proxies as predictors </w:t>
      </w:r>
      <w:r w:rsidR="000B70C6" w:rsidRPr="005E2A8B">
        <w:rPr>
          <w:rFonts w:ascii="Times New Roman" w:eastAsia="Times New Roman" w:hAnsi="Times New Roman"/>
          <w:color w:val="1C1D1E"/>
        </w:rPr>
        <w:t xml:space="preserve">yielded </w:t>
      </w:r>
      <w:r w:rsidR="004662EA" w:rsidRPr="005E2A8B">
        <w:rPr>
          <w:rFonts w:ascii="Times New Roman" w:eastAsia="Times New Roman" w:hAnsi="Times New Roman"/>
          <w:color w:val="1C1D1E"/>
        </w:rPr>
        <w:t xml:space="preserve">high predictive values regarding </w:t>
      </w:r>
      <w:r w:rsidR="000B70C6" w:rsidRPr="005E2A8B">
        <w:rPr>
          <w:rFonts w:ascii="Times New Roman" w:eastAsia="Times New Roman" w:hAnsi="Times New Roman"/>
          <w:color w:val="1C1D1E"/>
        </w:rPr>
        <w:t xml:space="preserve">the </w:t>
      </w:r>
      <w:r w:rsidR="004662EA" w:rsidRPr="005E2A8B">
        <w:rPr>
          <w:rFonts w:ascii="Times New Roman" w:eastAsia="Times New Roman" w:hAnsi="Times New Roman"/>
          <w:color w:val="1C1D1E"/>
        </w:rPr>
        <w:t xml:space="preserve">risk of conversion to dementia. </w:t>
      </w:r>
    </w:p>
    <w:p w14:paraId="2F4FC83F" w14:textId="77777777" w:rsidR="004662EA" w:rsidRPr="005E2A8B" w:rsidRDefault="004662EA" w:rsidP="0043405D">
      <w:pPr>
        <w:spacing w:line="360" w:lineRule="auto"/>
        <w:rPr>
          <w:rFonts w:ascii="Times New Roman" w:eastAsia="Times New Roman" w:hAnsi="Times New Roman"/>
          <w:color w:val="1C1D1E"/>
        </w:rPr>
      </w:pPr>
      <w:r w:rsidRPr="005E2A8B">
        <w:rPr>
          <w:rFonts w:ascii="Times New Roman" w:eastAsia="Times New Roman" w:hAnsi="Times New Roman"/>
          <w:color w:val="1C1D1E"/>
        </w:rPr>
        <w:t xml:space="preserve">- </w:t>
      </w:r>
      <w:r w:rsidR="007C311B" w:rsidRPr="005E2A8B">
        <w:rPr>
          <w:rFonts w:ascii="Times New Roman" w:eastAsia="Times New Roman" w:hAnsi="Times New Roman"/>
          <w:color w:val="1C1D1E"/>
        </w:rPr>
        <w:t xml:space="preserve">The </w:t>
      </w:r>
      <w:r w:rsidR="00824BD2" w:rsidRPr="005E2A8B">
        <w:rPr>
          <w:rFonts w:ascii="Times New Roman" w:eastAsia="Times New Roman" w:hAnsi="Times New Roman"/>
          <w:color w:val="1C1D1E"/>
        </w:rPr>
        <w:t xml:space="preserve">Gradient Boosting Classifier </w:t>
      </w:r>
      <w:r w:rsidR="000B70C6" w:rsidRPr="005E2A8B">
        <w:rPr>
          <w:rFonts w:ascii="Times New Roman" w:eastAsia="Times New Roman" w:hAnsi="Times New Roman"/>
          <w:color w:val="1C1D1E"/>
        </w:rPr>
        <w:t xml:space="preserve">predicted </w:t>
      </w:r>
      <w:r w:rsidR="00824BD2" w:rsidRPr="005E2A8B">
        <w:rPr>
          <w:rFonts w:ascii="Times New Roman" w:eastAsia="Times New Roman" w:hAnsi="Times New Roman"/>
          <w:color w:val="1C1D1E"/>
        </w:rPr>
        <w:t xml:space="preserve">conversion to dementia with an accuracy of 0.93 and a precision of </w:t>
      </w:r>
      <w:r w:rsidR="00B724B5" w:rsidRPr="005E2A8B">
        <w:rPr>
          <w:rFonts w:ascii="Times New Roman" w:eastAsia="Times New Roman" w:hAnsi="Times New Roman"/>
          <w:color w:val="1C1D1E"/>
        </w:rPr>
        <w:t>0.88.</w:t>
      </w:r>
    </w:p>
    <w:p w14:paraId="22C1D3B5" w14:textId="77777777" w:rsidR="004662EA" w:rsidRPr="005E2A8B" w:rsidRDefault="00824BD2" w:rsidP="54AFCCBD">
      <w:pPr>
        <w:spacing w:line="360" w:lineRule="auto"/>
        <w:rPr>
          <w:rFonts w:ascii="Times New Roman" w:eastAsia="Times New Roman" w:hAnsi="Times New Roman"/>
          <w:color w:val="1C1D1E"/>
        </w:rPr>
      </w:pPr>
      <w:r w:rsidRPr="005E2A8B">
        <w:rPr>
          <w:rFonts w:ascii="Times New Roman" w:eastAsia="Times New Roman" w:hAnsi="Times New Roman"/>
          <w:color w:val="1C1D1E"/>
        </w:rPr>
        <w:t xml:space="preserve">- </w:t>
      </w:r>
      <w:r w:rsidR="007C311B" w:rsidRPr="005E2A8B">
        <w:rPr>
          <w:rFonts w:ascii="Times New Roman" w:eastAsia="Times New Roman" w:hAnsi="Times New Roman"/>
          <w:color w:val="1C1D1E"/>
        </w:rPr>
        <w:t xml:space="preserve">The </w:t>
      </w:r>
      <w:r w:rsidRPr="005E2A8B">
        <w:rPr>
          <w:rFonts w:ascii="Times New Roman" w:hAnsi="Times New Roman"/>
        </w:rPr>
        <w:t xml:space="preserve">Random Forest Classifier </w:t>
      </w:r>
      <w:r w:rsidR="000B70C6" w:rsidRPr="005E2A8B">
        <w:rPr>
          <w:rFonts w:ascii="Times New Roman" w:eastAsia="Times New Roman" w:hAnsi="Times New Roman"/>
          <w:color w:val="1C1D1E"/>
        </w:rPr>
        <w:t xml:space="preserve">predicted </w:t>
      </w:r>
      <w:r w:rsidRPr="005E2A8B">
        <w:rPr>
          <w:rFonts w:ascii="Times New Roman" w:eastAsia="Times New Roman" w:hAnsi="Times New Roman"/>
          <w:color w:val="1C1D1E"/>
        </w:rPr>
        <w:t>conversion to dementia with an accuracy of 0.92 and a precision of 0.8</w:t>
      </w:r>
      <w:r w:rsidR="00B724B5" w:rsidRPr="005E2A8B">
        <w:rPr>
          <w:rFonts w:ascii="Times New Roman" w:eastAsia="Times New Roman" w:hAnsi="Times New Roman"/>
          <w:color w:val="1C1D1E"/>
        </w:rPr>
        <w:t>6</w:t>
      </w:r>
      <w:r w:rsidRPr="005E2A8B">
        <w:rPr>
          <w:rFonts w:ascii="Times New Roman" w:eastAsia="Times New Roman" w:hAnsi="Times New Roman"/>
          <w:color w:val="1C1D1E"/>
        </w:rPr>
        <w:t>.</w:t>
      </w:r>
    </w:p>
    <w:p w14:paraId="00E390CA" w14:textId="77777777" w:rsidR="004662EA" w:rsidRPr="005E2A8B" w:rsidRDefault="004662EA" w:rsidP="54AFCCBD">
      <w:pPr>
        <w:spacing w:line="360" w:lineRule="auto"/>
        <w:rPr>
          <w:rFonts w:ascii="Times New Roman" w:eastAsia="Times New Roman" w:hAnsi="Times New Roman"/>
          <w:color w:val="1C1D1E"/>
          <w:shd w:val="clear" w:color="auto" w:fill="FFFFFF"/>
        </w:rPr>
      </w:pPr>
      <w:r w:rsidRPr="005E2A8B">
        <w:rPr>
          <w:rFonts w:ascii="Times New Roman" w:hAnsi="Times New Roman"/>
        </w:rPr>
        <w:t xml:space="preserve">- The six most important predictors </w:t>
      </w:r>
      <w:r w:rsidR="00824BD2" w:rsidRPr="005E2A8B">
        <w:rPr>
          <w:rFonts w:ascii="Times New Roman" w:hAnsi="Times New Roman"/>
        </w:rPr>
        <w:t>using</w:t>
      </w:r>
      <w:r w:rsidRPr="005E2A8B">
        <w:rPr>
          <w:rFonts w:ascii="Times New Roman" w:hAnsi="Times New Roman"/>
        </w:rPr>
        <w:t xml:space="preserve"> both algorit</w:t>
      </w:r>
      <w:r w:rsidR="007C311B" w:rsidRPr="005E2A8B">
        <w:rPr>
          <w:rFonts w:ascii="Times New Roman" w:hAnsi="Times New Roman"/>
        </w:rPr>
        <w:t>h</w:t>
      </w:r>
      <w:r w:rsidRPr="005E2A8B">
        <w:rPr>
          <w:rFonts w:ascii="Times New Roman" w:hAnsi="Times New Roman"/>
        </w:rPr>
        <w:t>ms</w:t>
      </w:r>
      <w:r w:rsidR="00824BD2" w:rsidRPr="005E2A8B">
        <w:rPr>
          <w:rFonts w:ascii="Times New Roman" w:hAnsi="Times New Roman"/>
        </w:rPr>
        <w:t xml:space="preserve"> were</w:t>
      </w:r>
      <w:r w:rsidRPr="005E2A8B">
        <w:rPr>
          <w:rFonts w:ascii="Times New Roman" w:hAnsi="Times New Roman"/>
        </w:rPr>
        <w:t xml:space="preserve"> months from baseline, age, diagnostic group, WAIS and Peabody vocabulary scores and number of years of education. </w:t>
      </w:r>
    </w:p>
    <w:p w14:paraId="3536342E" w14:textId="77777777" w:rsidR="0043405D" w:rsidRPr="000B70C6" w:rsidRDefault="0043405D" w:rsidP="54AFCCBD">
      <w:pPr>
        <w:spacing w:line="360" w:lineRule="auto"/>
        <w:rPr>
          <w:rFonts w:ascii="Times New Roman" w:eastAsia="Times New Roman" w:hAnsi="Times New Roman"/>
          <w:color w:val="1C1D1E"/>
          <w:shd w:val="clear" w:color="auto" w:fill="FFFFFF"/>
        </w:rPr>
      </w:pPr>
    </w:p>
    <w:p w14:paraId="7B7C9549" w14:textId="77777777" w:rsidR="006C7530" w:rsidRPr="000B70C6" w:rsidRDefault="006C7530" w:rsidP="54AFCCBD">
      <w:pPr>
        <w:spacing w:line="360" w:lineRule="auto"/>
        <w:rPr>
          <w:rFonts w:ascii="Times New Roman" w:eastAsia="Times New Roman" w:hAnsi="Times New Roman"/>
          <w:color w:val="1C1D1E"/>
        </w:rPr>
      </w:pPr>
      <w:r w:rsidRPr="000B70C6">
        <w:rPr>
          <w:rFonts w:ascii="Times New Roman" w:eastAsia="Times New Roman" w:hAnsi="Times New Roman"/>
          <w:color w:val="1C1D1E"/>
        </w:rPr>
        <w:br/>
      </w:r>
    </w:p>
    <w:p w14:paraId="75780F49" w14:textId="77777777" w:rsidR="006C7530" w:rsidRPr="000B70C6" w:rsidRDefault="006C7530" w:rsidP="00DC1426">
      <w:pPr>
        <w:pStyle w:val="Ttulo1"/>
        <w:rPr>
          <w:lang w:val="en-GB"/>
        </w:rPr>
      </w:pPr>
      <w:r w:rsidRPr="000B70C6">
        <w:rPr>
          <w:lang w:val="en-GB"/>
        </w:rPr>
        <w:t>Introduction</w:t>
      </w:r>
    </w:p>
    <w:p w14:paraId="19EF4C32" w14:textId="77777777" w:rsidR="000F433E" w:rsidRPr="000B70C6" w:rsidRDefault="000F433E" w:rsidP="54AFCCBD">
      <w:pPr>
        <w:spacing w:line="360" w:lineRule="auto"/>
        <w:rPr>
          <w:rFonts w:ascii="Times New Roman" w:eastAsia="Times New Roman" w:hAnsi="Times New Roman"/>
          <w:color w:val="1C1D1E"/>
          <w:u w:val="single"/>
        </w:rPr>
      </w:pPr>
    </w:p>
    <w:p w14:paraId="0C4AEA91" w14:textId="7DC04021" w:rsidR="006E5C85" w:rsidRPr="000B70C6" w:rsidRDefault="00682CCF" w:rsidP="004C346B">
      <w:pPr>
        <w:pStyle w:val="Paragraph"/>
      </w:pPr>
      <w:r w:rsidRPr="000B70C6">
        <w:rPr>
          <w:color w:val="1C1D1E"/>
        </w:rPr>
        <w:t xml:space="preserve">Mild cognitive impairment (MCI) is a condition </w:t>
      </w:r>
      <w:r w:rsidR="003C33B9" w:rsidRPr="000B70C6">
        <w:rPr>
          <w:color w:val="1C1D1E"/>
        </w:rPr>
        <w:t>characterised by</w:t>
      </w:r>
      <w:r w:rsidRPr="000B70C6">
        <w:rPr>
          <w:color w:val="1C1D1E"/>
        </w:rPr>
        <w:t xml:space="preserve"> cognitive impairment with minimal impairment of instrumental a</w:t>
      </w:r>
      <w:r w:rsidR="00742B5E" w:rsidRPr="000B70C6">
        <w:rPr>
          <w:color w:val="1C1D1E"/>
        </w:rPr>
        <w:t>ctivities of daily living</w:t>
      </w:r>
      <w:r w:rsidRPr="000B70C6">
        <w:rPr>
          <w:color w:val="1C1D1E"/>
        </w:rPr>
        <w:t xml:space="preserve">. MCI is considered a cognitive stage of the cognitive continuum traditionally </w:t>
      </w:r>
      <w:r w:rsidR="00742B5E" w:rsidRPr="000B70C6">
        <w:rPr>
          <w:color w:val="1C1D1E"/>
        </w:rPr>
        <w:t>divided into three categories: c</w:t>
      </w:r>
      <w:r w:rsidRPr="000B70C6">
        <w:rPr>
          <w:color w:val="1C1D1E"/>
        </w:rPr>
        <w:t xml:space="preserve">ognitively unimpaired (CU), MCI and dementia </w:t>
      </w:r>
      <w:r w:rsidR="00156D24" w:rsidRPr="0048353C">
        <w:rPr>
          <w:color w:val="1C1D1E"/>
        </w:rPr>
        <w:fldChar w:fldCharType="begin" w:fldLock="1"/>
      </w:r>
      <w:r w:rsidR="002D19B0">
        <w:rPr>
          <w:color w:val="1C1D1E"/>
        </w:rPr>
        <w:instrText>ADDIN CSL_CITATION {"citationItems":[{"id":"ITEM-1","itemData":{"author":[{"dropping-particle":"","family":"Jack","given":"Clifford R","non-dropping-particle":"","parse-names":false,"suffix":""},{"dropping-particle":"","family":"Bennett","given":"David A","non-dropping-particle":"","parse-names":false,"suffix":""},{"dropping-particle":"","family":"Blennow","given":"Kaj","non-dropping-particle":"","parse-names":false,"suffix":""},{"dropping-particle":"","family":"Carrillo","given":"Maria C","non-dropping-particle":"","parse-names":false,"suffix":""},{"dropping-particle":"","family":"Dunn","given":"Billy","non-dropping-particle":"","parse-names":false,"suffix":""},{"dropping-particle":"","family":"Haeberlein","given":"Samantha Budd","non-dropping-particle":"","parse-names":false,"suffix":""},{"dropping-particle":"","family":"Holtzman","given":"David M","non-dropping-particle":"","parse-names":false,"suffix":""},{"dropping-particle":"","family":"Jagust","given":"William","non-dropping-particle":"","parse-names":false,"suffix":""},{"dropping-particle":"","family":"Jessen","given":"Frank","non-dropping-particle":"","parse-names":false,"suffix":""},{"dropping-particle":"","family":"Karlawish","given":"Jason","non-dropping-particle":"","parse-names":false,"suffix":""},{"dropping-particle":"","family":"others","given":"","non-dropping-particle":"","parse-names":false,"suffix":""}],"container-title":"Alzheimer's &amp; Dementia","id":"ITEM-1","issue":"4","issued":{"date-parts":[["2018"]]},"page":"535-562","publisher":"Elsevier","title":"NIA-AA Research Framework: Toward a biological definition of Alzheimer's disease","type":"article-journal","volume":"14"},"uris":["http://www.mendeley.com/documents/?uuid=c1a224fd-c628-4824-b258-c54df4d17d8a"]}],"mendeley":{"formattedCitation":"&lt;sup&gt;1&lt;/sup&gt;","plainTextFormattedCitation":"1","previouslyFormattedCitation":"(Jack et al., 2018)"},"properties":{"noteIndex":0},"schema":"https://github.com/citation-style-language/schema/raw/master/csl-citation.json"}</w:instrText>
      </w:r>
      <w:r w:rsidR="00156D24" w:rsidRPr="0048353C">
        <w:rPr>
          <w:color w:val="1C1D1E"/>
        </w:rPr>
        <w:fldChar w:fldCharType="separate"/>
      </w:r>
      <w:r w:rsidR="002D19B0" w:rsidRPr="002D19B0">
        <w:rPr>
          <w:noProof/>
          <w:color w:val="1C1D1E"/>
          <w:vertAlign w:val="superscript"/>
        </w:rPr>
        <w:t>1</w:t>
      </w:r>
      <w:r w:rsidR="00156D24" w:rsidRPr="0048353C">
        <w:rPr>
          <w:color w:val="1C1D1E"/>
        </w:rPr>
        <w:fldChar w:fldCharType="end"/>
      </w:r>
      <w:r w:rsidRPr="000B70C6">
        <w:rPr>
          <w:color w:val="1C1D1E"/>
        </w:rPr>
        <w:t>.</w:t>
      </w:r>
      <w:r w:rsidR="00156D24" w:rsidRPr="0048353C">
        <w:rPr>
          <w:color w:val="1C1D1E"/>
        </w:rPr>
        <w:t xml:space="preserve"> </w:t>
      </w:r>
      <w:r w:rsidR="006E5C85" w:rsidRPr="000B70C6">
        <w:t xml:space="preserve">Although MCI </w:t>
      </w:r>
      <w:r w:rsidR="00F7496B" w:rsidRPr="000B70C6">
        <w:t xml:space="preserve">sufferers </w:t>
      </w:r>
      <w:r w:rsidR="006E5C85" w:rsidRPr="000B70C6">
        <w:t>have an increased risk of progressing to dementia</w:t>
      </w:r>
      <w:r w:rsidRPr="000B70C6">
        <w:t xml:space="preserve"> than </w:t>
      </w:r>
      <w:r w:rsidR="00F7496B" w:rsidRPr="000B70C6">
        <w:t xml:space="preserve">their </w:t>
      </w:r>
      <w:r w:rsidRPr="000B70C6">
        <w:t>age-matched controls</w:t>
      </w:r>
      <w:r w:rsidR="006E5C85" w:rsidRPr="000B70C6">
        <w:t>, most remain stable or return to normality</w:t>
      </w:r>
      <w:r w:rsidR="000B70C6" w:rsidRPr="000B70C6">
        <w:t>,</w:t>
      </w:r>
      <w:r w:rsidR="008D6DF3" w:rsidRPr="000B70C6">
        <w:t xml:space="preserve"> and o</w:t>
      </w:r>
      <w:r w:rsidR="007E0158" w:rsidRPr="000B70C6">
        <w:t xml:space="preserve">nly a proportion </w:t>
      </w:r>
      <w:r w:rsidR="008D6DF3" w:rsidRPr="000B70C6">
        <w:t>convert</w:t>
      </w:r>
      <w:r w:rsidR="007E0158" w:rsidRPr="000B70C6">
        <w:t xml:space="preserve"> to dementia</w:t>
      </w:r>
      <w:r w:rsidR="002A42ED" w:rsidRPr="000B70C6">
        <w:t xml:space="preserve"> </w:t>
      </w:r>
      <w:r w:rsidR="00156D24" w:rsidRPr="0048353C">
        <w:fldChar w:fldCharType="begin" w:fldLock="1"/>
      </w:r>
      <w:r w:rsidR="002D19B0">
        <w:instrText>ADDIN CSL_CITATION {"citationItems":[{"id":"ITEM-1","itemData":{"DOI":"10.1371/journal.pone.0075434","ISSN":"1932-6203 (Electronic)","PMID":"24086531","abstract":"Although misjudgment is an issue of primary concern to the justice system and public safety, the response to misjudgment by the human brain remains unclear. We used fMRI to record neural activity in participants that encountered four possible judgments by the justice system with two basic components: whether the judgment was right or wrong [accuracy: right vs. wrong (misjudgment)] and whether the judgment was positive or negative [valence: positive vs. negative]. As hypothesized, the rostral ACC specifically processes the accuracy of judgment, being more active for misjudgment than for right judgment, while the striatum was uniquely responsible for the valence of judgment, being recruited to a larger extent by positive judgment compared to negative judgment. Furthermore, the activity in the rACC for positive misjudgments was positively correlated with that for negative misjudgments, which confirmed the misjudgment-specificity of the rACC. These results demonstrate that the brain can distinguish a misjudgment from a right judgment and regard a misjudgment as an emotionally arousing stimulus, independent of whether it is positive or negative, while positive judgment is considered as hedonic information, regardless of whether it is right or wrong. Our study is the first to reveal the neural mechanism that underlies judgment processing. This mechanism may constitute the basis of future studies to develop a novel marker for the detection of lies.","author":[{"dropping-particle":"","family":"Cui","given":"Qian","non-dropping-particle":"","parse-names":false,"suffix":""},{"dropping-particle":"","family":"Zhang","given":"Qinglin","non-dropping-particle":"","parse-names":false,"suffix":""},{"dropping-particle":"","family":"Takahashi","given":"Hidehiko","non-dropping-particle":"","parse-names":false,"suffix":""}],"container-title":"PloS one","id":"ITEM-1","issue":"9","issued":{"date-parts":[["2013"]]},"language":"eng","page":"e75434","publisher-place":"United States","title":"The neural mechanism of encountering misjudgment by the justice system.","type":"article-journal","volume":"8"},"uris":["http://www.mendeley.com/documents/?uuid=a491497a-fc61-48e1-a6ff-65bd3c33ba46"]},{"id":"ITEM-2","itemData":{"author":[{"dropping-particle":"","family":"Facal","given":"David","non-dropping-particle":"","parse-names":false,"suffix":""},{"dropping-particle":"","family":"Guàrdia-Olmos","given":"Joan","non-dropping-particle":"","parse-names":false,"suffix":""},{"dropping-particle":"","family":"Juncos-Rabadán","given":"Onésimo","non-dropping-particle":"","parse-names":false,"suffix":""}],"container-title":"International journal of geriatric psychiatry","id":"ITEM-2","issue":"7","issued":{"date-parts":[["2015"]]},"page":"669-676","publisher":"Wiley Online Library","title":"Diagnostic transitions in mild cognitive impairment by use of simple Markov models","type":"article-journal","volume":"30"},"uris":["http://www.mendeley.com/documents/?uuid=0cb57e8b-6f91-4b26-acc9-f8bc2cd34f7d"]},{"id":"ITEM-3","itemData":{"DOI":"10.1159/000452486","ISSN":"16645464","PMID":"28413413","abstract":"BACKGROUND It remains unclear how demographic and clinical characteristics are related to the risk of incident mild cognitive impairment (MCI) by its subtypes. Moreover, the contribution of the subtypes of incident MCI to the progression to dementia remains puzzling. METHODS We used data collected by the National Alzheimer Coordinating Center. Our analysis sample included cognitively normal subjects at baseline. The associations were examined using competing-risks survival regression models and Cox proportional hazards models. RESULTS About 16.3% of subjects developed incident MCI of whom 15.8% progressed to Alz-heimer disease (overall mean follow-up of 4.3 years). The risk of incident amnestic MCI (aMCI) was greater in subjects with 1 copy (subhazard ratio [SHR]: 1.23; 95% CI: 1.00-1.50) or 2 copies (SHR: 2.14; 95% CI: 1.49-3.05) of the APOE ε4 allele than in those who had no ε4 allele. Multiple-domain aMCI patients were more likely to progress to dementia than single-domain aMCI patients (hazard ratio: 2.14; 95% CI: 1.28-3.58). CONCLUSIONS Cognitively normal subjects with an APOE ε4 allele had a higher likelihood of developing aMCI and the MCI subtype was associated with the dementia subtype. Our findings provide important information about practical indicators for the prediction of cognitive decline.","author":[{"dropping-particle":"","family":"Michaud","given":"Tzeyu L.","non-dropping-particle":"","parse-names":false,"suffix":""},{"dropping-particle":"","family":"Su","given":"Dejun","non-dropping-particle":"","parse-names":false,"suffix":""},{"dropping-particle":"","family":"Siahpush","given":"Mohammad","non-dropping-particle":"","parse-names":false,"suffix":""},{"dropping-particle":"","family":"Murman","given":"Daniel L.","non-dropping-particle":"","parse-names":false,"suffix":""}],"container-title":"Dementia and Geriatric Cognitive Disorders Extra","id":"ITEM-3","issue":"1","issued":{"date-parts":[["2017"]]},"page":"15-29","title":"The risk of incident mild cognitive impairment and progression to dementia considering mild cognitive impairment subtypes","type":"article-journal","volume":"7"},"uris":["http://www.mendeley.com/documents/?uuid=6f6bebf6-3783-4eb6-8ff1-e58ed0e3e762"]}],"mendeley":{"formattedCitation":"&lt;sup&gt;2–4&lt;/sup&gt;","plainTextFormattedCitation":"2–4","previouslyFormattedCitation":"(Cui et al., 2013; Facal et al., 2015a; Michaud et al., 2017)"},"properties":{"noteIndex":0},"schema":"https://github.com/citation-style-language/schema/raw/master/csl-citation.json"}</w:instrText>
      </w:r>
      <w:r w:rsidR="00156D24" w:rsidRPr="0048353C">
        <w:fldChar w:fldCharType="separate"/>
      </w:r>
      <w:r w:rsidR="002D19B0" w:rsidRPr="002D19B0">
        <w:rPr>
          <w:noProof/>
          <w:vertAlign w:val="superscript"/>
        </w:rPr>
        <w:t>2–4</w:t>
      </w:r>
      <w:r w:rsidR="00156D24" w:rsidRPr="0048353C">
        <w:fldChar w:fldCharType="end"/>
      </w:r>
      <w:r w:rsidR="0048353C" w:rsidRPr="002D19B0">
        <w:t>.</w:t>
      </w:r>
      <w:r w:rsidR="007E0158" w:rsidRPr="002D19B0">
        <w:t xml:space="preserve"> </w:t>
      </w:r>
      <w:r w:rsidR="007C311B">
        <w:t>P</w:t>
      </w:r>
      <w:r w:rsidR="007E0158" w:rsidRPr="000B70C6">
        <w:t xml:space="preserve">rediction of the </w:t>
      </w:r>
      <w:r w:rsidR="008D6DF3" w:rsidRPr="000B70C6">
        <w:t xml:space="preserve">risk </w:t>
      </w:r>
      <w:r w:rsidR="007E0158" w:rsidRPr="000B70C6">
        <w:t xml:space="preserve">of MCI individuals </w:t>
      </w:r>
      <w:r w:rsidR="008D6DF3" w:rsidRPr="000B70C6">
        <w:t>converting to</w:t>
      </w:r>
      <w:r w:rsidR="007E0158" w:rsidRPr="000B70C6">
        <w:t xml:space="preserve"> </w:t>
      </w:r>
      <w:r w:rsidR="00742B5E" w:rsidRPr="000B70C6">
        <w:t xml:space="preserve">AD </w:t>
      </w:r>
      <w:r w:rsidR="008D6DF3" w:rsidRPr="000B70C6">
        <w:t>and</w:t>
      </w:r>
      <w:r w:rsidR="00250A4B">
        <w:t xml:space="preserve"> identification of </w:t>
      </w:r>
      <w:r w:rsidR="008D6DF3" w:rsidRPr="000B70C6">
        <w:t xml:space="preserve">how demographic, clinical and lifestyle </w:t>
      </w:r>
      <w:r w:rsidR="0094595F" w:rsidRPr="000B70C6">
        <w:t>characteris</w:t>
      </w:r>
      <w:r w:rsidR="008D6DF3" w:rsidRPr="000B70C6">
        <w:t xml:space="preserve">tics </w:t>
      </w:r>
      <w:r w:rsidR="00F7496B" w:rsidRPr="000B70C6">
        <w:t xml:space="preserve">influence </w:t>
      </w:r>
      <w:r w:rsidR="008D6DF3" w:rsidRPr="000B70C6">
        <w:t xml:space="preserve">this risk </w:t>
      </w:r>
      <w:r w:rsidR="00250A4B">
        <w:t>are</w:t>
      </w:r>
      <w:r w:rsidR="00250A4B" w:rsidRPr="000B70C6">
        <w:t xml:space="preserve"> </w:t>
      </w:r>
      <w:r w:rsidR="007E0158" w:rsidRPr="000B70C6">
        <w:t xml:space="preserve">increasingly </w:t>
      </w:r>
      <w:r w:rsidR="008D6DF3" w:rsidRPr="000B70C6">
        <w:t>relevant</w:t>
      </w:r>
      <w:r w:rsidR="002E25B4" w:rsidRPr="000B70C6">
        <w:t xml:space="preserve"> in </w:t>
      </w:r>
      <w:r w:rsidR="00F7496B" w:rsidRPr="000B70C6">
        <w:t>relation to the prevention of</w:t>
      </w:r>
      <w:r w:rsidR="002E25B4" w:rsidRPr="000B70C6">
        <w:t xml:space="preserve"> cognitive impairment</w:t>
      </w:r>
      <w:r w:rsidR="008D6DF3" w:rsidRPr="000B70C6">
        <w:t xml:space="preserve">. </w:t>
      </w:r>
    </w:p>
    <w:p w14:paraId="31156C55" w14:textId="5BFB23BD" w:rsidR="002D6D99" w:rsidRPr="000B70C6" w:rsidRDefault="007C311B" w:rsidP="004C346B">
      <w:pPr>
        <w:pStyle w:val="Paragraph"/>
      </w:pPr>
      <w:r>
        <w:t>Y</w:t>
      </w:r>
      <w:r w:rsidR="1E98346E" w:rsidRPr="000B70C6">
        <w:t xml:space="preserve">ears of schooling, occupational complexity, crystallized intelligence (vocabulary level), engagement in leisure activities, </w:t>
      </w:r>
      <w:r w:rsidR="00250A4B" w:rsidRPr="000B70C6">
        <w:t xml:space="preserve">participation </w:t>
      </w:r>
      <w:r w:rsidR="00250A4B">
        <w:t xml:space="preserve">in </w:t>
      </w:r>
      <w:r w:rsidR="1E98346E" w:rsidRPr="000B70C6">
        <w:t xml:space="preserve">social and cultural </w:t>
      </w:r>
      <w:r w:rsidR="00250A4B">
        <w:t xml:space="preserve">events </w:t>
      </w:r>
      <w:r w:rsidR="1E98346E" w:rsidRPr="000B70C6">
        <w:t>and integrity of social networks have been shown to have protective effects against cognitive decline</w:t>
      </w:r>
      <w:r w:rsidR="004200AF" w:rsidRPr="000B70C6">
        <w:t xml:space="preserve"> </w:t>
      </w:r>
      <w:r w:rsidR="00156D24" w:rsidRPr="0048353C">
        <w:fldChar w:fldCharType="begin" w:fldLock="1"/>
      </w:r>
      <w:r w:rsidR="002D19B0">
        <w:instrText>ADDIN CSL_CITATION {"citationItems":[{"id":"ITEM-1","itemData":{"DOI":"10.1080/13607863.2017.1348471","ISSN":"1360-7863","PMID":"28703027","abstract":"ABSTRACTObjectives: The concept of cognitive reserve (CR) is defined as a moderator, which allows an individual to preserve cognition despite underlying brain pathology. There is no consensus of what potentially modifiable CR determinants are of greatest importance. The aim of this review was to identify life-course factors which protect older individuals from expressing cognitive decline despite the presence of brain pathology.Method: A systematic review search was performed in MEDLINE (1946–06/09/13), EMBASE (1947–06/09/13), and PsycheInfo (1967–06/09/13). We included studies examining CR in the context of the four commonest subtypes of dementia, mild cognitive impairment or healthy aging. Studies which combined measurement of underlying dementia-related neuropathology, cognitive function, and factors providing CR in a single model were accepted. We performed a qualitative synthesis of the results.Results: Thirty-four studies out of 9229 screened records met our inclusion criteria and were therefore qua...","author":[{"dropping-particle":"","family":"Chapko","given":"Dorota","non-dropping-particle":"","parse-names":false,"suffix":""},{"dropping-particle":"","family":"McCormack","given":"Roisin","non-dropping-particle":"","parse-names":false,"suffix":""},{"dropping-particle":"","family":"Black","given":"Corri","non-dropping-particle":"","parse-names":false,"suffix":""},{"dropping-particle":"","family":"Staff","given":"Roger","non-dropping-particle":"","parse-names":false,"suffix":""},{"dropping-particle":"","family":"Murray","given":"Alison","non-dropping-particle":"","parse-names":false,"suffix":""}],"container-title":"Aging &amp; Mental Health","id":"ITEM-1","issue":"0","issued":{"date-parts":[["2017"]]},"page":"1-12","publisher":"Taylor &amp; Francis","title":"Life-course determinants of cognitive reserve (CR) in cognitive aging and dementia – a systematic literature review","type":"article-journal","volume":"0"},"uris":["http://www.mendeley.com/documents/?uuid=aa90a457-28c8-4087-9d12-6a4a64dfc17c"]},{"id":"ITEM-2","itemData":{"author":[{"dropping-particle":"","family":"Ferreira","given":"Daniel","non-dropping-particle":"","parse-names":false,"suffix":""},{"dropping-particle":"","family":"Bartrés-Faz","given":"David","non-dropping-particle":"","parse-names":false,"suffix":""},{"dropping-particle":"","family":"Nygren","given":"Linn","non-dropping-particle":"","parse-names":false,"suffix":""},{"dropping-particle":"","family":"Rundkvist","given":"Leigh J","non-dropping-particle":"","parse-names":false,"suffix":""},{"dropping-particle":"","family":"Molina","given":"Yaiza","non-dropping-particle":"","parse-names":false,"suffix":""},{"dropping-particle":"","family":"Machado","given":"Alejandra","non-dropping-particle":"","parse-names":false,"suffix":""},{"dropping-particle":"","family":"Junqué","given":"Carme","non-dropping-particle":"","parse-names":false,"suffix":""},{"dropping-particle":"","family":"Barroso","given":"José","non-dropping-particle":"","parse-names":false,"suffix":""},{"dropping-particle":"","family":"Westman","given":"Eric","non-dropping-particle":"","parse-names":false,"suffix":""}],"container-title":"Behavioural brain research","id":"ITEM-2","issued":{"date-parts":[["2016"]]},"page":"375-383","publisher":"Elsevier","title":"Different reserve proxies confer overlapping and unique endurance to cortical thinning in healthy middle-aged adults","type":"article-journal","volume":"311"},"uris":["http://www.mendeley.com/documents/?uuid=fa43b5a9-58b1-4da6-8ef1-c79a0a0081a2"]},{"id":"ITEM-3","itemData":{"DOI":"10.1212/01.wnl.0000327670.62378.c0","ISBN":"0000327670","ISSN":"00283878","PMID":"18936426","abstract":"BACKGROUND: Previous reports have shown that higher education is associated with more severe brain pathology in patients with Alzheimer disease (AD), suggesting that these individuals have a functional reserve provided by education, which masks the clinical expression of a higher degree of neurodegeneration. It is unknown if a similar reserve mechanism exists in patients with amnestic mild cognitive impairment (aMCI). The aim of this study was to assess the impact of education and occupation on brain glucose metabolism (rCMRglc) measured with FDG-PET in aMCI and in a very large sample of subjects with probable AD (pAD). METHODS: A total of 242 patients with pAD, 72 with aMCI, and 144 healthy controls participated in the study. At follow-up, 21 subjects with aMCI progressed to AD. A regression analysis was conducted (SPM2), with education and occupation as independent variables, and rCMRglc as dependent variable, adjusting for demographic data, global cognitive status, and neuropsychological scores. RESULTS: The analysis showed a significant association between higher education/occupation and lower rCMRglc in posterior temporoparietal cortex and precuneus in pAD and aMCI converters, and no correlation in aMCI nonconverters and healthy controls. This means that, when submitted to FDG-PET for diagnostic evaluation, pAD and aMCI converters with higher education/occupation had, for comparable cognitive impairment, a more severe rCMRglc reduction than the ones with lower education/occupation. CONCLUSIONS: This study suggests that education and occupation may be proxies for brain functional reserve, reducing the severity and delaying the clinical expression of Alzheimer disease (AD) pathology. The results in aMCI converters suggest that functional reserve is already at play in the predementia phase of AD.","author":[{"dropping-particle":"","family":"Garibotto","given":"V.","non-dropping-particle":"","parse-names":false,"suffix":""},{"dropping-particle":"","family":"Borroni","given":"B.","non-dropping-particle":"","parse-names":false,"suffix":""},{"dropping-particle":"","family":"Kalbe","given":"E.","non-dropping-particle":"","parse-names":false,"suffix":""},{"dropping-particle":"","family":"Herholz","given":"K.","non-dropping-particle":"","parse-names":false,"suffix":""},{"dropping-particle":"","family":"Salmon","given":"E.","non-dropping-particle":"","parse-names":false,"suffix":""},{"dropping-particle":"","family":"Holtoff","given":"V.","non-dropping-particle":"","parse-names":false,"suffix":""},{"dropping-particle":"","family":"Sorbi","given":"S.","non-dropping-particle":"","parse-names":false,"suffix":""},{"dropping-particle":"","family":"Cappa","given":"S. F.","non-dropping-particle":"","parse-names":false,"suffix":""},{"dropping-particle":"","family":"Padovani","given":"A.","non-dropping-particle":"","parse-names":false,"suffix":""},{"dropping-particle":"","family":"Fazio","given":"F.","non-dropping-particle":"","parse-names":false,"suffix":""},{"dropping-particle":"","family":"Perani","given":"D.","non-dropping-particle":"","parse-names":false,"suffix":""}],"container-title":"Neurology","id":"ITEM-3","issue":"17","issued":{"date-parts":[["2008"]]},"page":"1342-1349","title":"Education and occupation as proxies for reserve in aMCI converters and AD: FDG-PET evidence","type":"article-journal","volume":"71"},"uris":["http://www.mendeley.com/documents/?uuid=9a186b95-32cb-49da-852c-5817f5a2e342"]},{"id":"ITEM-4","itemData":{"DOI":"10.1080/13803395.2013.847906","ISBN":"13803395","ISSN":"13803395","PMID":"24134146","abstract":"The study tested the cognitive reserve hypothesis by quantifying cognitive reserve (CR) and subsequently determining its role in executive function and verbal episodic memory performance. A neuropsychological battery was administered to 383 Greek-Cypriot older adults. A multiple indicators multiple causes (MIMIC) latent construct was utilized to define CR incorporating three indicators: years of education, vocabulary, and reading performance. Findings from two structural equation models supported the moderating role of CR in reducing the direct negative effect of age on verbal episodic memory and on executive function. The study illustrates a parsimonious way of defining CR and provides empirical support for the CR hypothesis.","author":[{"dropping-particle":"","family":"Giogkaraki","given":"Erasmia","non-dropping-particle":"","parse-names":false,"suffix":""},{"dropping-particle":"","family":"Michaelides","given":"Michalis P.","non-dropping-particle":"","parse-names":false,"suffix":""},{"dropping-particle":"","family":"Constantinidou","given":"Fofi","non-dropping-particle":"","parse-names":false,"suffix":""}],"container-title":"Journal of Clinical and Experimental Neuropsychology","id":"ITEM-4","issue":"10","issued":{"date-parts":[["2013"]]},"page":"1024-1035","title":"The role of cognitive reserve in cognitive aging: Results from the neurocognitive study on aging","type":"article-journal","volume":"35"},"uris":["http://www.mendeley.com/documents/?uuid=cb061d4b-d415-431a-af6a-dc658abda483"]},{"id":"ITEM-5","itemData":{"DOI":"10.1093/arclin/acu007","ISBN":"0887-6177","ISSN":"0887-6177","abstract":"Cognitive reserve (CR) is often operationally defined as a complex structure of latent variables. Here, we present a structural model that analyzes the effect of CR on three cognitive domains: episodic memory, working memory, and general cognitive performance. We developed and analyzed a structural equation model (SEM) to study CR and cognitive performance in 326 participants over 50 years old with subjective memory complaints. The CR construct was found to consist of two factors: (a) educational level and (b) lifestyle. The model revealed that CR had significant direct effects on episodic memory, working memory, and general cognitive performance, and indirect effects on episodic memory via working memory. As a latent construct, CR is related to cognitive performance in participants over 50 years with subjective memory complaints, and it should therefore be considered in the evaluation and diagnosis of such people.","author":[{"dropping-particle":"","family":"Lojo-Seoane","given":"C.","non-dropping-particle":"","parse-names":false,"suffix":""},{"dropping-particle":"","family":"Facal","given":"D.","non-dropping-particle":"","parse-names":false,"suffix":""},{"dropping-particle":"","family":"Guardia-Olmos","given":"J.","non-dropping-particle":"","parse-names":false,"suffix":""},{"dropping-particle":"","family":"Juncos-Rabadan","given":"O.","non-dropping-particle":"","parse-names":false,"suffix":""}],"container-title":"Archives of Clinical Neuropsychology","id":"ITEM-5","issue":"3","issued":{"date-parts":[["2014"]]},"page":"245-255","title":"Structural Model for Estimating the Influence of Cognitive Reserve on Cognitive Performance in Adults with Subjective Memory Complaints","type":"article-journal","volume":"29"},"uris":["http://www.mendeley.com/documents/?uuid=69fc2d0c-dfb1-458b-8c40-6f8ec51ddbed"]}],"mendeley":{"formattedCitation":"&lt;sup&gt;5–9&lt;/sup&gt;","plainTextFormattedCitation":"5–9","previouslyFormattedCitation":"(Chapko et al., 2017; Ferreira et al., 2016; Garibotto et al., 2008; Giogkaraki et al., 2013; Lojo-Seoane et al., 2014)"},"properties":{"noteIndex":0},"schema":"https://github.com/citation-style-language/schema/raw/master/csl-citation.json"}</w:instrText>
      </w:r>
      <w:r w:rsidR="00156D24" w:rsidRPr="0048353C">
        <w:fldChar w:fldCharType="separate"/>
      </w:r>
      <w:r w:rsidR="002D19B0" w:rsidRPr="002D19B0">
        <w:rPr>
          <w:noProof/>
          <w:vertAlign w:val="superscript"/>
        </w:rPr>
        <w:t>5–9</w:t>
      </w:r>
      <w:r w:rsidR="00156D24" w:rsidRPr="0048353C">
        <w:fldChar w:fldCharType="end"/>
      </w:r>
      <w:r w:rsidR="00156D24" w:rsidRPr="002D19B0">
        <w:t xml:space="preserve">. </w:t>
      </w:r>
      <w:r w:rsidR="1E98346E" w:rsidRPr="000B70C6">
        <w:t xml:space="preserve">All of </w:t>
      </w:r>
      <w:r w:rsidR="00F7496B" w:rsidRPr="000B70C6">
        <w:t xml:space="preserve">these factors </w:t>
      </w:r>
      <w:r w:rsidR="1E98346E" w:rsidRPr="000B70C6">
        <w:t xml:space="preserve">contribute to </w:t>
      </w:r>
      <w:r w:rsidR="00F7496B" w:rsidRPr="000B70C6">
        <w:t xml:space="preserve">increasing </w:t>
      </w:r>
      <w:r w:rsidR="1E98346E" w:rsidRPr="000B70C6">
        <w:t>cognitive reserve (CR)</w:t>
      </w:r>
      <w:r w:rsidR="00F7496B" w:rsidRPr="000B70C6">
        <w:t>,</w:t>
      </w:r>
      <w:r w:rsidR="1E98346E" w:rsidRPr="000B70C6">
        <w:t xml:space="preserve"> defined as an active process whereby the brain adapts to a situation of deterioration by using cognitive processing resources to compensate for the deficits</w:t>
      </w:r>
      <w:r w:rsidR="006221A5" w:rsidRPr="000B70C6">
        <w:t xml:space="preserve"> </w:t>
      </w:r>
      <w:r w:rsidR="00156D24" w:rsidRPr="0048353C">
        <w:fldChar w:fldCharType="begin" w:fldLock="1"/>
      </w:r>
      <w:r w:rsidR="002D19B0">
        <w:instrText>ADDIN CSL_CITATION {"citationItems":[{"id":"ITEM-1","itemData":{"DOI":"10.1016/j.neuropsychologia.2009.03.004","ISBN":"1873-3514 (Electronic)","ISSN":"00283932","PMID":"19467352","abstract":"The concept of reserve has been proposed to account for the disjunction between the degree of brain damage and its clinical outcome. This paper attempts to produce a coherent theoretical account the reserve in general and of cognitive reserve in particular. It reviews epidemiologic data supporting the concept of cognitive reserve, with a particular focus of its implications for aging and dementia. It then focuses on methodologic issues that are important when attempting to elucidate the neural underpinnings of cognitive reserve using imaging studies, and reviews some of our group's work in order to demonstrate these issues. © 2009 Elsevier Ltd. All rights reserved.","author":[{"dropping-particle":"","family":"Stern","given":"Yaakov","non-dropping-particle":"","parse-names":false,"suffix":""}],"container-title":"Neuropsychologia","id":"ITEM-1","issue":"10","issued":{"date-parts":[["2009"]]},"page":"2015-2028","title":"Cognitive reserve","type":"article-journal","volume":"47"},"uris":["http://www.mendeley.com/documents/?uuid=a8ab21d0-692a-4b58-93a0-1daf18556927"]}],"mendeley":{"formattedCitation":"&lt;sup&gt;10&lt;/sup&gt;","plainTextFormattedCitation":"10","previouslyFormattedCitation":"(Stern, 2009)"},"properties":{"noteIndex":0},"schema":"https://github.com/citation-style-language/schema/raw/master/csl-citation.json"}</w:instrText>
      </w:r>
      <w:r w:rsidR="00156D24" w:rsidRPr="0048353C">
        <w:fldChar w:fldCharType="separate"/>
      </w:r>
      <w:r w:rsidR="002D19B0" w:rsidRPr="002D19B0">
        <w:rPr>
          <w:noProof/>
          <w:vertAlign w:val="superscript"/>
        </w:rPr>
        <w:t>10</w:t>
      </w:r>
      <w:r w:rsidR="00156D24" w:rsidRPr="0048353C">
        <w:fldChar w:fldCharType="end"/>
      </w:r>
      <w:r w:rsidR="1E98346E" w:rsidRPr="000B70C6">
        <w:t>.</w:t>
      </w:r>
      <w:r w:rsidR="00882D55" w:rsidRPr="000B70C6">
        <w:t xml:space="preserve"> The CR construct has been </w:t>
      </w:r>
      <w:r w:rsidR="00682CCF" w:rsidRPr="000B70C6">
        <w:t>formalized</w:t>
      </w:r>
      <w:r w:rsidR="00882D55" w:rsidRPr="000B70C6">
        <w:t xml:space="preserve"> </w:t>
      </w:r>
      <w:r w:rsidR="000B70C6" w:rsidRPr="000B70C6">
        <w:t xml:space="preserve">by </w:t>
      </w:r>
      <w:r w:rsidR="00882D55" w:rsidRPr="000B70C6">
        <w:t>considering two latent variables</w:t>
      </w:r>
      <w:r w:rsidR="000B70C6" w:rsidRPr="000B70C6">
        <w:t xml:space="preserve">: </w:t>
      </w:r>
      <w:r w:rsidR="00882D55" w:rsidRPr="000B70C6">
        <w:t xml:space="preserve">level of education (including proxies such as </w:t>
      </w:r>
      <w:r w:rsidR="008623F6" w:rsidRPr="000B70C6">
        <w:t xml:space="preserve">years of formal schooling, occupational attainment, reading habits and vocabulary knowledge) and lifestyle (including </w:t>
      </w:r>
      <w:r w:rsidRPr="000B70C6">
        <w:t xml:space="preserve">participation </w:t>
      </w:r>
      <w:r>
        <w:t xml:space="preserve">in </w:t>
      </w:r>
      <w:r w:rsidR="008623F6" w:rsidRPr="000B70C6">
        <w:t>social and cultural activities)</w:t>
      </w:r>
      <w:r w:rsidR="00182E16" w:rsidRPr="000B70C6">
        <w:t xml:space="preserve"> </w:t>
      </w:r>
      <w:r w:rsidR="00156D24" w:rsidRPr="0048353C">
        <w:fldChar w:fldCharType="begin" w:fldLock="1"/>
      </w:r>
      <w:r w:rsidR="002D19B0">
        <w:instrText>ADDIN CSL_CITATION {"citationItems":[{"id":"ITEM-1","itemData":{"DOI":"10.1093/arclin/acu007","ISBN":"0887-6177","ISSN":"0887-6177","abstract":"Cognitive reserve (CR) is often operationally defined as a complex structure of latent variables. Here, we present a structural model that analyzes the effect of CR on three cognitive domains: episodic memory, working memory, and general cognitive performance. We developed and analyzed a structural equation model (SEM) to study CR and cognitive performance in 326 participants over 50 years old with subjective memory complaints. The CR construct was found to consist of two factors: (a) educational level and (b) lifestyle. The model revealed that CR had significant direct effects on episodic memory, working memory, and general cognitive performance, and indirect effects on episodic memory via working memory. As a latent construct, CR is related to cognitive performance in participants over 50 years with subjective memory complaints, and it should therefore be considered in the evaluation and diagnosis of such people.","author":[{"dropping-particle":"","family":"Lojo-Seoane","given":"C.","non-dropping-particle":"","parse-names":false,"suffix":""},{"dropping-particle":"","family":"Facal","given":"D.","non-dropping-particle":"","parse-names":false,"suffix":""},{"dropping-particle":"","family":"Guardia-Olmos","given":"J.","non-dropping-particle":"","parse-names":false,"suffix":""},{"dropping-particle":"","family":"Juncos-Rabadan","given":"O.","non-dropping-particle":"","parse-names":false,"suffix":""}],"container-title":"Archives of Clinical Neuropsychology","id":"ITEM-1","issue":"3","issued":{"date-parts":[["2014"]]},"page":"245-255","title":"Structural Model for Estimating the Influence of Cognitive Reserve on Cognitive Performance in Adults with Subjective Memory Complaints","type":"article-journal","volume":"29"},"uris":["http://www.mendeley.com/documents/?uuid=69fc2d0c-dfb1-458b-8c40-6f8ec51ddbed"]}],"mendeley":{"formattedCitation":"&lt;sup&gt;9&lt;/sup&gt;","plainTextFormattedCitation":"9","previouslyFormattedCitation":"(Lojo-Seoane et al., 2014)"},"properties":{"noteIndex":0},"schema":"https://github.com/citation-style-language/schema/raw/master/csl-citation.json"}</w:instrText>
      </w:r>
      <w:r w:rsidR="00156D24" w:rsidRPr="0048353C">
        <w:fldChar w:fldCharType="separate"/>
      </w:r>
      <w:r w:rsidR="002D19B0" w:rsidRPr="002D19B0">
        <w:rPr>
          <w:noProof/>
          <w:vertAlign w:val="superscript"/>
        </w:rPr>
        <w:t>9</w:t>
      </w:r>
      <w:r w:rsidR="00156D24" w:rsidRPr="0048353C">
        <w:fldChar w:fldCharType="end"/>
      </w:r>
      <w:r w:rsidR="008623F6" w:rsidRPr="000B70C6">
        <w:t xml:space="preserve">. </w:t>
      </w:r>
      <w:r w:rsidR="1E98346E" w:rsidRPr="000B70C6">
        <w:t xml:space="preserve">Longitudinal studies have focused on </w:t>
      </w:r>
      <w:r w:rsidR="008623F6" w:rsidRPr="000B70C6">
        <w:t>confirm</w:t>
      </w:r>
      <w:r w:rsidR="00F7496B" w:rsidRPr="000B70C6">
        <w:t>ing</w:t>
      </w:r>
      <w:r w:rsidR="008623F6" w:rsidRPr="000B70C6">
        <w:t xml:space="preserve"> </w:t>
      </w:r>
      <w:r w:rsidR="1E98346E" w:rsidRPr="000B70C6">
        <w:t xml:space="preserve">the </w:t>
      </w:r>
      <w:r w:rsidR="00614EA8" w:rsidRPr="000B70C6">
        <w:t xml:space="preserve">protective </w:t>
      </w:r>
      <w:r w:rsidR="1E98346E" w:rsidRPr="000B70C6">
        <w:t xml:space="preserve">effects of CR on </w:t>
      </w:r>
      <w:r w:rsidR="00614EA8" w:rsidRPr="000B70C6">
        <w:t xml:space="preserve">general </w:t>
      </w:r>
      <w:r w:rsidR="1E98346E" w:rsidRPr="000B70C6">
        <w:t>cognitive performance</w:t>
      </w:r>
      <w:r w:rsidR="00614EA8" w:rsidRPr="000B70C6">
        <w:t xml:space="preserve"> and memory</w:t>
      </w:r>
      <w:r w:rsidR="1E98346E" w:rsidRPr="000B70C6">
        <w:t xml:space="preserve"> over time</w:t>
      </w:r>
      <w:r w:rsidR="00C1218C" w:rsidRPr="000B70C6">
        <w:t xml:space="preserve"> </w:t>
      </w:r>
      <w:r w:rsidR="00156D24" w:rsidRPr="0048353C">
        <w:fldChar w:fldCharType="begin" w:fldLock="1"/>
      </w:r>
      <w:r w:rsidR="002D19B0">
        <w:instrText>ADDIN CSL_CITATION {"citationItems":[{"id":"ITEM-1","itemData":{"author":[{"dropping-particle":"","family":"Lojo-Seoane","given":"Cristina","non-dropping-particle":"","parse-names":false,"suffix":""},{"dropping-particle":"","family":"Facal","given":"David","non-dropping-particle":"","parse-names":false,"suffix":""},{"dropping-particle":"","family":"GUÀRDIA-OLMOS","given":"JOAN","non-dropping-particle":"","parse-names":false,"suffix":""},{"dropping-particle":"","family":"Pereiro","given":"Arturo","non-dropping-particle":"","parse-names":false,"suffix":""},{"dropping-particle":"","family":"Juncos-Rabadán","given":"Onésimo","non-dropping-particle":"","parse-names":false,"suffix":""}],"container-title":"Frontiers in Aging Neuroscience","id":"ITEM-1","issued":{"date-parts":[["2018"]]},"page":"189","publisher":"Frontiers","title":"Effects of Cognitive Reserve on Cognitive Performance in a Follow-up Study in Older Adults with Subjective Cognitive Complaints. The role of Working Memory.","type":"article-journal","volume":"10"},"uris":["http://www.mendeley.com/documents/?uuid=2677283f-06be-4b75-89c5-a3cca98c9fd3"]},{"id":"ITEM-2","itemData":{"author":[{"dropping-particle":"","family":"Sumowski","given":"JF","non-dropping-particle":"","parse-names":false,"suffix":""},{"dropping-particle":"","family":"Rocca","given":"MA","non-dropping-particle":"","parse-names":false,"suffix":""},{"dropping-particle":"","family":"Leavitt","given":"VM","non-dropping-particle":"","parse-names":false,"suffix":""},{"dropping-particle":"","family":"Dackovic","given":"J","non-dropping-particle":"","parse-names":false,"suffix":""},{"dropping-particle":"","family":"Mesaros","given":"S","non-dropping-particle":"","parse-names":false,"suffix":""},{"dropping-particle":"","family":"Drulovic","given":"J","non-dropping-particle":"","parse-names":false,"suffix":""},{"dropping-particle":"","family":"DeLuca","given":"J","non-dropping-particle":"","parse-names":false,"suffix":""},{"dropping-particle":"","family":"M","given":"Filippi","non-dropping-particle":"","parse-names":false,"suffix":""}],"container-title":"American Academy of Neurology","id":"ITEM-2","issue":"2","issued":{"date-parts":[["2014"]]},"page":"4-5","title":"Brain reserve and cognitive reserve protect against cognitive decline over 4 . 5 years in","type":"article-journal"},"uris":["http://www.mendeley.com/documents/?uuid=dd18aea1-4d6f-4bd4-a8e7-52a564005e3d"]}],"mendeley":{"formattedCitation":"&lt;sup&gt;11,12&lt;/sup&gt;","plainTextFormattedCitation":"11,12","previouslyFormattedCitation":"(Lojo-Seoane et al., 2018; Sumowski et al., 2014)"},"properties":{"noteIndex":0},"schema":"https://github.com/citation-style-language/schema/raw/master/csl-citation.json"}</w:instrText>
      </w:r>
      <w:r w:rsidR="00156D24" w:rsidRPr="0048353C">
        <w:fldChar w:fldCharType="separate"/>
      </w:r>
      <w:r w:rsidR="002D19B0" w:rsidRPr="002D19B0">
        <w:rPr>
          <w:noProof/>
          <w:vertAlign w:val="superscript"/>
        </w:rPr>
        <w:t>11,12</w:t>
      </w:r>
      <w:r w:rsidR="00156D24" w:rsidRPr="0048353C">
        <w:fldChar w:fldCharType="end"/>
      </w:r>
      <w:r w:rsidR="00C1218C" w:rsidRPr="000B70C6" w:rsidDel="00C1218C">
        <w:t xml:space="preserve"> </w:t>
      </w:r>
      <w:r w:rsidR="00614EA8" w:rsidRPr="000B70C6">
        <w:t xml:space="preserve">and </w:t>
      </w:r>
      <w:r w:rsidR="00250A4B">
        <w:t>on the</w:t>
      </w:r>
      <w:r w:rsidR="00250A4B" w:rsidRPr="000B70C6">
        <w:t xml:space="preserve"> </w:t>
      </w:r>
      <w:r w:rsidR="00614EA8" w:rsidRPr="000B70C6">
        <w:t xml:space="preserve">role </w:t>
      </w:r>
      <w:r w:rsidR="00250A4B">
        <w:t xml:space="preserve">of CR </w:t>
      </w:r>
      <w:r w:rsidR="00614EA8" w:rsidRPr="000B70C6">
        <w:t xml:space="preserve">in </w:t>
      </w:r>
      <w:r>
        <w:t xml:space="preserve">the </w:t>
      </w:r>
      <w:r w:rsidR="00614EA8" w:rsidRPr="000B70C6">
        <w:t>transition between diagnostic states</w:t>
      </w:r>
      <w:r w:rsidR="005C6C36" w:rsidRPr="000B70C6">
        <w:t xml:space="preserve"> </w:t>
      </w:r>
      <w:r w:rsidR="00156D24" w:rsidRPr="0048353C">
        <w:fldChar w:fldCharType="begin" w:fldLock="1"/>
      </w:r>
      <w:r w:rsidR="002D19B0">
        <w:instrText>ADDIN CSL_CITATION {"citationItems":[{"id":"ITEM-1","itemData":{"DOI":"http://dx.doi.org/10.1016/j.neurobiolaging.2014.10.010","ISBN":"1558-1497","ISSN":"15581497","PMID":"25433459","abstract":"This study investigates how cognitive reserve (CR) interacts with neurodegeneration (quantified by medial temporal atrophy, MTA) and macroscopic white matter lesions (WMLs) in delaying the conversion from amnestic mild cognitive impairment to Alzheimer's disease (AD). Forty-two amnestic mild cognitive impairment patients were consecutively recruited. They underwent magnetic resonance imaging and a comprehensive questionnaire to classify them as individuals with low or high CR. Patients were then clinically followed-up for 2 years. The patients' risk for conversion to AD because of CR was estimated by controlling for cognitive efficiency, MTA, and WMLs at baseline. Global cognition was the best predictor of conversion to AD in low CR patients. Conversely, in high CR patients only, WMLs (but not MTA) highly contributed in increasing the risk for conversion to AD. In conclusion, CR interacts with both patients' cognitive features and WMLs in modulating the impact of AD pathology. This seems relevant for clinical prognosis and therapeutic strategies.Copyright © 2015 Elsevier Inc. All rights reserved.","author":[{"dropping-particle":"","family":"Serra","given":"L","non-dropping-particle":"","parse-names":false,"suffix":""},{"dropping-particle":"","family":"Musicco","given":"M","non-dropping-particle":"","parse-names":false,"suffix":""},{"dropping-particle":"","family":"Cercignani","given":"M","non-dropping-particle":"","parse-names":false,"suffix":""},{"dropping-particle":"","family":"Torso","given":"M","non-dropping-particle":"","parse-names":false,"suffix":""},{"dropping-particle":"","family":"Spano","given":"B","non-dropping-particle":"","parse-names":false,"suffix":""},{"dropping-particle":"","family":"Mastropasqua","given":"C","non-dropping-particle":"","parse-names":false,"suffix":""},{"dropping-particle":"","family":"Giulietti","given":"G","non-dropping-particle":"","parse-names":false,"suffix":""},{"dropping-particle":"","family":"Marra","given":"C","non-dropping-particle":"","parse-names":false,"suffix":""},{"dropping-particle":"","family":"Bruno","given":"G","non-dropping-particle":"","parse-names":false,"suffix":""},{"dropping-particle":"","family":"Koch","given":"G","non-dropping-particle":"","parse-names":false,"suffix":""},{"dropping-particle":"","family":"Caltagirone","given":"C","non-dropping-particle":"","parse-names":false,"suffix":""},{"dropping-particle":"","family":"Bozzali","given":"M","non-dropping-particle":"","parse-names":false,"suffix":""}],"container-title":"Neurobiology of Aging","id":"ITEM-1","issue":"2","issued":{"date-parts":[["2015"]]},"page":"592-600","title":"Cognitive reserve and the risk for Alzheimer's disease: a longitudinal study","type":"article-journal","volume":"36"},"uris":["http://www.mendeley.com/documents/?uuid=36b21004-716c-4565-b976-c0d4fe896c86"]}],"mendeley":{"formattedCitation":"&lt;sup&gt;13&lt;/sup&gt;","plainTextFormattedCitation":"13","previouslyFormattedCitation":"(Serra et al., 2015)"},"properties":{"noteIndex":0},"schema":"https://github.com/citation-style-language/schema/raw/master/csl-citation.json"}</w:instrText>
      </w:r>
      <w:r w:rsidR="00156D24" w:rsidRPr="0048353C">
        <w:fldChar w:fldCharType="separate"/>
      </w:r>
      <w:r w:rsidR="002D19B0" w:rsidRPr="002D19B0">
        <w:rPr>
          <w:noProof/>
          <w:vertAlign w:val="superscript"/>
        </w:rPr>
        <w:t>13</w:t>
      </w:r>
      <w:r w:rsidR="00156D24" w:rsidRPr="0048353C">
        <w:fldChar w:fldCharType="end"/>
      </w:r>
      <w:r w:rsidR="1E98346E" w:rsidRPr="000B70C6">
        <w:t>.</w:t>
      </w:r>
    </w:p>
    <w:p w14:paraId="1DE9C070" w14:textId="5E3A89AB" w:rsidR="00CB20D7" w:rsidRPr="002D19B0" w:rsidRDefault="00156D24" w:rsidP="00C63481">
      <w:pPr>
        <w:pStyle w:val="Paragraph"/>
      </w:pPr>
      <w:r w:rsidRPr="0048353C">
        <w:t xml:space="preserve">Diagnostic transitions in MCI and eventual conversion to dementia have been studied by survival analysis </w:t>
      </w:r>
      <w:r w:rsidRPr="0048353C">
        <w:fldChar w:fldCharType="begin" w:fldLock="1"/>
      </w:r>
      <w:r w:rsidR="002D19B0">
        <w:instrText>ADDIN CSL_CITATION {"citationItems":[{"id":"ITEM-1","itemData":{"author":[{"dropping-particle":"","family":"Ding","given":"Ding","non-dropping-particle":"","parse-names":false,"suffix":""},{"dropping-particle":"","family":"Zhao","given":"Qianhua","non-dropping-particle":"","parse-names":false,"suffix":""},{"dropping-particle":"","family":"Guo","given":"Qihao","non-dropping-particle":"","parse-names":false,"suffix":""},{"dropping-particle":"","family":"Liang","given":"Xiaoniu","non-dropping-particle":"","parse-names":false,"suffix":""},{"dropping-particle":"","family":"Luo","given":"Jianfeng","non-dropping-particle":"","parse-names":false,"suffix":""},{"dropping-particle":"","family":"Yu","given":"Lirong","non-dropping-particle":"","parse-names":false,"suffix":""},{"dropping-particle":"","family":"Zheng","given":"Li","non-dropping-particle":"","parse-names":false,"suffix":""},{"dropping-particle":"","family":"Hong","given":"Zhen","non-dropping-particle":"","parse-names":false,"suffix":""},{"dropping-particle":"","family":"others","given":"","non-dropping-particle":"","parse-names":false,"suffix":""}],"container-title":"Alzheimer's &amp; Dementia: Diagnosis, Assessment &amp; Disease Monitoring","id":"ITEM-1","issued":{"date-parts":[["2016"]]},"page":"28-36","publisher":"Elsevier","title":"Progression and predictors of mild cognitive impairment in Chinese elderly: A prospective follow-up in the Shanghai Aging Study","type":"article-journal","volume":"4"},"uris":["http://www.mendeley.com/documents/?uuid=1bd0e219-1d81-4aa0-934c-a5f4ba82c99d"]}],"mendeley":{"formattedCitation":"&lt;sup&gt;14&lt;/sup&gt;","plainTextFormattedCitation":"14","previouslyFormattedCitation":"(Ding et al., 2016)"},"properties":{"noteIndex":0},"schema":"https://github.com/citation-style-language/schema/raw/master/csl-citation.json"}</w:instrText>
      </w:r>
      <w:r w:rsidRPr="0048353C">
        <w:fldChar w:fldCharType="separate"/>
      </w:r>
      <w:r w:rsidR="002D19B0" w:rsidRPr="002D19B0">
        <w:rPr>
          <w:noProof/>
          <w:vertAlign w:val="superscript"/>
        </w:rPr>
        <w:t>14</w:t>
      </w:r>
      <w:r w:rsidRPr="0048353C">
        <w:fldChar w:fldCharType="end"/>
      </w:r>
      <w:r w:rsidRPr="0048353C">
        <w:t xml:space="preserve">, polynomial regression analysis </w:t>
      </w:r>
      <w:r w:rsidRPr="0048353C">
        <w:fldChar w:fldCharType="begin" w:fldLock="1"/>
      </w:r>
      <w:r w:rsidR="002D19B0">
        <w:instrText>ADDIN CSL_CITATION {"citationItems":[{"id":"ITEM-1","itemData":{"author":[{"dropping-particle":"","family":"Cloutier","given":"Simon","non-dropping-particle":"","parse-names":false,"suffix":""},{"dropping-particle":"","family":"Chertkow","given":"Howard","non-dropping-particle":"","parse-names":false,"suffix":""},{"dropping-particle":"","family":"Kergoat","given":"Marie-Jeanne","non-dropping-particle":"","parse-names":false,"suffix":""},{"dropping-particle":"","family":"Gauthier","given":"Serge","non-dropping-particle":"","parse-names":false,"suffix":""},{"dropping-particle":"","family":"Belleville","given":"Sylvie","non-dropping-particle":"","parse-names":false,"suffix":""}],"container-title":"Journal of Alzheimer's Disease","id":"ITEM-1","issue":"4","issued":{"date-parts":[["2015"]]},"page":"901-913","publisher":"IOS Press","title":"Patterns of cognitive decline prior to dementia in persons with mild cognitive impairment","type":"article-journal","volume":"47"},"uris":["http://www.mendeley.com/documents/?uuid=04e9b999-63c5-4e6e-9e07-9ad353cff079"]}],"mendeley":{"formattedCitation":"&lt;sup&gt;15&lt;/sup&gt;","plainTextFormattedCitation":"15","previouslyFormattedCitation":"(Cloutier et al., 2015)"},"properties":{"noteIndex":0},"schema":"https://github.com/citation-style-language/schema/raw/master/csl-citation.json"}</w:instrText>
      </w:r>
      <w:r w:rsidRPr="0048353C">
        <w:fldChar w:fldCharType="separate"/>
      </w:r>
      <w:r w:rsidR="002D19B0" w:rsidRPr="002D19B0">
        <w:rPr>
          <w:noProof/>
          <w:vertAlign w:val="superscript"/>
        </w:rPr>
        <w:t>15</w:t>
      </w:r>
      <w:r w:rsidRPr="0048353C">
        <w:fldChar w:fldCharType="end"/>
      </w:r>
      <w:r w:rsidRPr="0048353C">
        <w:t xml:space="preserve">, multinomial logistic regression analysis </w:t>
      </w:r>
      <w:r w:rsidRPr="0048353C">
        <w:fldChar w:fldCharType="begin" w:fldLock="1"/>
      </w:r>
      <w:r w:rsidR="002D19B0">
        <w:instrText>ADDIN CSL_CITATION {"citationItems":[{"id":"ITEM-1","itemData":{"author":[{"dropping-particle":"","family":"Han","given":"Ji Won","non-dropping-particle":"","parse-names":false,"suffix":""},{"dropping-particle":"","family":"Kim","given":"Tae Hui","non-dropping-particle":"","parse-names":false,"suffix":""},{"dropping-particle":"","family":"Lee","given":"Seok Bum","non-dropping-particle":"","parse-names":false,"suffix":""},{"dropping-particle":"","family":"Park","given":"Joon Hyuk","non-dropping-particle":"","parse-names":false,"suffix":""},{"dropping-particle":"","family":"Lee","given":"Jung Jae","non-dropping-particle":"","parse-names":false,"suffix":""},{"dropping-particle":"","family":"Huh","given":"Yoonseok","non-dropping-particle":"","parse-names":false,"suffix":""},{"dropping-particle":"","family":"Park","given":"Jee Eun","non-dropping-particle":"","parse-names":false,"suffix":""},{"dropping-particle":"","family":"Jhoo","given":"Jin Hyeong","non-dropping-particle":"","parse-names":false,"suffix":""},{"dropping-particle":"","family":"Lee","given":"Dong Young","non-dropping-particle":"","parse-names":false,"suffix":""},{"dropping-particle":"","family":"Kim","given":"Ki Woong","non-dropping-particle":"","parse-names":false,"suffix":""}],"container-title":"Alzheimer's &amp; Dementia","id":"ITEM-1","issue":"6","issued":{"date-parts":[["2012"]]},"page":"553-559","publisher":"Elsevier","title":"Predictive validity and diagnostic stability of mild cognitive impairment subtypes","type":"article-journal","volume":"8"},"uris":["http://www.mendeley.com/documents/?uuid=3e89fade-d816-4645-8ffc-c17372118670"]}],"mendeley":{"formattedCitation":"&lt;sup&gt;16&lt;/sup&gt;","plainTextFormattedCitation":"16","previouslyFormattedCitation":"(Han et al., 2012)"},"properties":{"noteIndex":0},"schema":"https://github.com/citation-style-language/schema/raw/master/csl-citation.json"}</w:instrText>
      </w:r>
      <w:r w:rsidRPr="0048353C">
        <w:fldChar w:fldCharType="separate"/>
      </w:r>
      <w:r w:rsidR="002D19B0" w:rsidRPr="002D19B0">
        <w:rPr>
          <w:noProof/>
          <w:vertAlign w:val="superscript"/>
        </w:rPr>
        <w:t>16</w:t>
      </w:r>
      <w:r w:rsidRPr="0048353C">
        <w:fldChar w:fldCharType="end"/>
      </w:r>
      <w:r w:rsidRPr="0048353C">
        <w:t xml:space="preserve"> and Markov models </w:t>
      </w:r>
      <w:r w:rsidRPr="0048353C">
        <w:fldChar w:fldCharType="begin" w:fldLock="1"/>
      </w:r>
      <w:r w:rsidR="002D19B0">
        <w:instrText>ADDIN CSL_CITATION {"citationItems":[{"id":"ITEM-1","itemData":{"DOI":"10.1002/gps.4197","ISBN":"08856230","ISSN":"10991166","PMID":"25315251","abstract":"BACKGROUND: Mild cognitive impairment (MCI) is a complex entity, which can involve persistence of the symptoms, conversion to dementia or improvement. The aim was to study the transitions between normal cognitive ageing and three MCI subtypes by using Markov transition models for different intervals between baseline and the follow-up assessment. METHODS: A total of 294 participants over 50 years old attending primary care centres were assessed and diagnosed at baseline as multi-domain amnestic MCI (22 participants), single domain amnestic MCI (44), non-amnestic MCI (non-amnestic MCI) (26) or controls (202). We adopted an overlapping interval strategy by constructing six different mid-point time intervals according to the time between the baseline and the follow-up assessment. We used Markov transition models to study diagnostic changes in the groups in the different time intervals RESULTS: The rate of change was lowest in the control group. In the single domain amnestic MCI and non-amnestic MCI groups, the same diagnosis was usually retained or changed to normal cognitive functioning. In the multi-domain amnestic MCI group, the rate of transition to normal functioning was lowest, and the conversion to dementia was the highest of all groups. The best fit to the Markov models was found for the period between 18-21 months, whereas the worst fit was for the period between 9-15 months CONCLUSIONS: Markov models provide a comprehensive view of transitions between MCI and normal cognitive functioning. Time interval strategies seem to provide a good opportunity to monitor diagnostic transitions, although wider intervals including subsequent assessments are needed. The low rates of conversion to dementia are discussed.","author":[{"dropping-particle":"","family":"Facal","given":"David","non-dropping-particle":"","parse-names":false,"suffix":""},{"dropping-particle":"","family":"Guàrdia-Olmos","given":"Joan","non-dropping-particle":"","parse-names":false,"suffix":""},{"dropping-particle":"","family":"Juncos-Rabadán","given":"Onésimo","non-dropping-particle":"","parse-names":false,"suffix":""}],"container-title":"International Journal of Geriatric Psychiatry","id":"ITEM-1","issue":"7","issued":{"date-parts":[["2015"]]},"page":"669-676","title":"Diagnostic transitions in mild cognitive impairment by use of simple Markov models","type":"article-journal","volume":"30"},"uris":["http://www.mendeley.com/documents/?uuid=e8fc10ac-7605-4c51-b0cb-15e833ed61e4"]}],"mendeley":{"formattedCitation":"&lt;sup&gt;17&lt;/sup&gt;","plainTextFormattedCitation":"17","previouslyFormattedCitation":"(Facal et al., 2015b)"},"properties":{"noteIndex":0},"schema":"https://github.com/citation-style-language/schema/raw/master/csl-citation.json"}</w:instrText>
      </w:r>
      <w:r w:rsidRPr="0048353C">
        <w:fldChar w:fldCharType="separate"/>
      </w:r>
      <w:r w:rsidR="002D19B0" w:rsidRPr="002D19B0">
        <w:rPr>
          <w:noProof/>
          <w:vertAlign w:val="superscript"/>
        </w:rPr>
        <w:t>17</w:t>
      </w:r>
      <w:r w:rsidRPr="0048353C">
        <w:fldChar w:fldCharType="end"/>
      </w:r>
      <w:r w:rsidRPr="0048353C">
        <w:t xml:space="preserve">. Machine learning (ML), a scientific discipline that focuses on how computers learn from data </w:t>
      </w:r>
      <w:r w:rsidRPr="0048353C">
        <w:fldChar w:fldCharType="begin" w:fldLock="1"/>
      </w:r>
      <w:r w:rsidR="002D19B0">
        <w:instrText>ADDIN CSL_CITATION {"citationItems":[{"id":"ITEM-1","itemData":{"author":[{"dropping-particle":"","family":"Abu-Mostafa","given":"Yaser S","non-dropping-particle":"","parse-names":false,"suffix":""},{"dropping-particle":"","family":"Magdon-Ismail","given":"Malik","non-dropping-particle":"","parse-names":false,"suffix":""},{"dropping-particle":"","family":"Lin","given":"Hsuan-Tien","non-dropping-particle":"","parse-names":false,"suffix":""}],"id":"ITEM-1","issued":{"date-parts":[["2012"]]},"publisher":"AMLBook New York, NY, USA:","title":"Learning from data","type":"book","volume":"4"},"uris":["http://www.mendeley.com/documents/?uuid=724d9dc3-462c-4ea3-ab34-c547f49563e6"]}],"mendeley":{"formattedCitation":"&lt;sup&gt;18&lt;/sup&gt;","plainTextFormattedCitation":"18","previouslyFormattedCitation":"(Abu-Mostafa et al., 2012)"},"properties":{"noteIndex":0},"schema":"https://github.com/citation-style-language/schema/raw/master/csl-citation.json"}</w:instrText>
      </w:r>
      <w:r w:rsidRPr="0048353C">
        <w:fldChar w:fldCharType="separate"/>
      </w:r>
      <w:r w:rsidR="002D19B0" w:rsidRPr="002D19B0">
        <w:rPr>
          <w:noProof/>
          <w:vertAlign w:val="superscript"/>
        </w:rPr>
        <w:t>18</w:t>
      </w:r>
      <w:r w:rsidRPr="0048353C">
        <w:fldChar w:fldCharType="end"/>
      </w:r>
      <w:r w:rsidRPr="0048353C">
        <w:t xml:space="preserve">, </w:t>
      </w:r>
      <w:r w:rsidR="00250A4B">
        <w:t>can</w:t>
      </w:r>
      <w:r w:rsidRPr="0048353C">
        <w:t xml:space="preserve"> build classifier</w:t>
      </w:r>
      <w:r w:rsidR="00250A4B">
        <w:t>s</w:t>
      </w:r>
      <w:r w:rsidRPr="0048353C">
        <w:t xml:space="preserve"> by </w:t>
      </w:r>
      <w:r w:rsidR="000B70C6" w:rsidRPr="0048173D">
        <w:t>automatically</w:t>
      </w:r>
      <w:r w:rsidR="000B70C6" w:rsidRPr="000B70C6">
        <w:t xml:space="preserve"> </w:t>
      </w:r>
      <w:r w:rsidRPr="0048353C">
        <w:t xml:space="preserve">learning the inherent structure of a data set. </w:t>
      </w:r>
      <w:r w:rsidR="007C311B">
        <w:t>In this study</w:t>
      </w:r>
      <w:r w:rsidRPr="0048353C">
        <w:t xml:space="preserve">, we focused on the supervised learning category, which starts with the goal of predicting a known output or target. This innovative technique has shown enormous potential for supporting diagnosis prediction, risk estimation, and classification learning for diagnosis </w:t>
      </w:r>
      <w:r w:rsidRPr="0048353C">
        <w:fldChar w:fldCharType="begin" w:fldLock="1"/>
      </w:r>
      <w:r w:rsidR="002D19B0">
        <w:instrText>ADDIN CSL_CITATION {"citationItems":[{"id":"ITEM-1","itemData":{"DOI":"10.1016/j.jneumeth.2006.10.023","ISSN":"0165-0270","abstract":"The early detection of subjects with probable Alzheimer's disease ({AD}) is crucial for effective appliance of treatment strategies. Here we explored the ability of a multitude of linear and non-linear classification algorithms to discriminate between the electroencephalograms ({EEGs}) of patients with varying degree of {AD} and their age-matched control subjects. Absolute and relative spectral power, distribution of spectral power, and measures of spatial synchronization were calculated from recordings of resting eyes-closed continuous {EEGs} of 45 healthy controls, 116 patients with mild {AD} and 81 patients with moderate {AD}, recruited in two different centers (Stockholm, New York). The applied classification algorithms were: principal component linear discriminant analysis ({PC} {LDA}), partial least squares {LDA} ({PLS} {LDA}), principal component logistic regression ({PC} {LR}), partial least squares logistic regression ({PLS} {LR}), bagging, random forest, support vector machines ({SVM}) and feed-forward neural network. Based on 10-fold cross-validation runs it could be demonstrated that even tough modern computer-intensive classification algorithms such as random forests, {SVM} and neural networks show a slight superiority, more classical classification algorithms performed nearly equally well. Using random forests classification a considerable sensitivity of up to 85% and a specificity of 78%, respectively for the test of even only mild {AD} patients has been reached, whereas for the comparison of moderate {AD} vs. controls, using {SVM} and neural networks, values of 89% and 88% for sensitivity and specificity were achieved. Such a remarkable performance proves the value of these classification algorithms for clinical diagnostics.","author":[{"dropping-particle":"","family":"Lehmann","given":"Christoph","non-dropping-particle":"","parse-names":false,"suffix":""},{"dropping-particle":"","family":"Koenig","given":"Thomas","non-dropping-particle":"","parse-names":false,"suffix":""},{"dropping-particle":"","family":"Jelic","given":"Vesna","non-dropping-particle":"","parse-names":false,"suffix":""},{"dropping-particle":"","family":"Prichep","given":"Leslie","non-dropping-particle":"","parse-names":false,"suffix":""},{"dropping-particle":"","family":"John","given":"Roy E","non-dropping-particle":"","parse-names":false,"suffix":""},{"dropping-particle":"","family":"Wahlund","given":"Lars-Olof","non-dropping-particle":"","parse-names":false,"suffix":""},{"dropping-particle":"","family":"Dodge","given":"Yadolah","non-dropping-particle":"","parse-names":false,"suffix":""},{"dropping-particle":"","family":"Dierks","given":"Thomas","non-dropping-particle":"","parse-names":false,"suffix":""}],"container-title":"Journal of Neuroscience Methods","id":"ITEM-1","issue":"2","issued":{"date-parts":[["2007","4"]]},"page":"342-350","title":"Application and comparison of classification algorithms for recognition of Alzheimer's disease in electrical brain activity ({EEG})","type":"article-journal","volume":"161"},"uris":["http://www.mendeley.com/documents/?uuid=213c1042-c117-4c9b-90ec-a98d5cafad6d"]},{"id":"ITEM-2","itemData":{"author":[{"dropping-particle":"","family":"Tripoliti","given":"Evanthia E","non-dropping-particle":"","parse-names":false,"suffix":""},{"dropping-particle":"","family":"Fotiadis","given":"Dimitrios I","non-dropping-particle":"","parse-names":false,"suffix":""},{"dropping-particle":"","family":"Argyropoulou","given":"Maria","non-dropping-particle":"","parse-names":false,"suffix":""},{"dropping-particle":"","family":"Manis","given":"George","non-dropping-particle":"","parse-names":false,"suffix":""}],"container-title":"Journal of biomedical informatics","id":"ITEM-2","issue":"2","issued":{"date-parts":[["2010"]]},"page":"307-320","publisher":"Elsevier","title":"A six stage approach for the diagnosis of the Alzheimer’s disease based on fMRI data","type":"article-journal","volume":"43"},"uris":["http://www.mendeley.com/documents/?uuid=9c494050-5158-4542-b9c6-9f7a09b1414e"]},{"id":"ITEM-3","itemData":{"author":[{"dropping-particle":"","family":"Maroco","given":"João","non-dropping-particle":"","parse-names":false,"suffix":""},{"dropping-particle":"","family":"Silva","given":"Dina","non-dropping-particle":"","parse-names":false,"suffix":""},{"dropping-particle":"","family":"Rodrigues","given":"Ana","non-dropping-particle":"","parse-names":false,"suffix":""},{"dropping-particle":"","family":"Guerreiro","given":"Manuela","non-dropping-particle":"","parse-names":false,"suffix":""},{"dropping-particle":"","family":"Santana","given":"Isabel","non-dropping-particle":"","parse-names":false,"suffix":""},{"dropping-particle":"","family":"Mendonça","given":"Alexandre","non-dropping-particle":"de","parse-names":false,"suffix":""}],"container-title":"BMC research notes","id":"ITEM-3","issue":"1","issued":{"date-parts":[["2011"]]},"page":"299","publisher":"BioMed Central Ltd","title":"Data mining methods in the prediction of Dementia: A real-data comparison of the accuracy, sensitivity and specificity of linear discriminant analysis, logistic regression, neural networks, support vector machines, classification trees and random forests","type":"article-journal","volume":"4"},"uris":["http://www.mendeley.com/documents/?uuid=44b50a5a-c890-4350-80e5-67eb212a24a2"]},{"id":"ITEM-4","itemData":{"author":[{"dropping-particle":"","family":"Patel","given":"Meenal J","non-dropping-particle":"","parse-names":false,"suffix":""},{"dropping-particle":"","family":"Andreescu","given":"Carmen","non-dropping-particle":"","parse-names":false,"suffix":""},{"dropping-particle":"","family":"Price","given":"Julie C","non-dropping-particle":"","parse-names":false,"suffix":""},{"dropping-particle":"","family":"Edelman","given":"Kathryn L","non-dropping-particle":"","parse-names":false,"suffix":""},{"dropping-particle":"","family":"Reynolds","given":"Charles F","non-dropping-particle":"","parse-names":false,"suffix":""},{"dropping-particle":"","family":"Aizenstein","given":"Howard J","non-dropping-particle":"","parse-names":false,"suffix":""}],"container-title":"International journal of geriatric psychiatry","id":"ITEM-4","issue":"10","issued":{"date-parts":[["2015"]]},"page":"1056-1067","publisher":"Wiley Online Library","title":"Machine learning approaches for integrating clinical and imaging features in late-life depression classification and response prediction","type":"article-journal","volume":"30"},"uris":["http://www.mendeley.com/documents/?uuid=d27b27fb-32ea-4b72-8060-ddaa2b2731a8"]}],"mendeley":{"formattedCitation":"&lt;sup&gt;19–22&lt;/sup&gt;","plainTextFormattedCitation":"19–22","previouslyFormattedCitation":"(Lehmann et al., 2007a; Tripoliti et al., 2010; Maroco et al., 2011; Patel et al., 2015)"},"properties":{"noteIndex":0},"schema":"https://github.com/citation-style-language/schema/raw/master/csl-citation.json"}</w:instrText>
      </w:r>
      <w:r w:rsidRPr="0048353C">
        <w:fldChar w:fldCharType="separate"/>
      </w:r>
      <w:r w:rsidR="002D19B0" w:rsidRPr="002D19B0">
        <w:rPr>
          <w:noProof/>
          <w:vertAlign w:val="superscript"/>
        </w:rPr>
        <w:t>19–22</w:t>
      </w:r>
      <w:r w:rsidRPr="0048353C">
        <w:fldChar w:fldCharType="end"/>
      </w:r>
      <w:r w:rsidRPr="002D19B0">
        <w:t>.</w:t>
      </w:r>
    </w:p>
    <w:p w14:paraId="2B884E13" w14:textId="77777777" w:rsidR="002D6D99" w:rsidRPr="000B70C6" w:rsidRDefault="00F7496B" w:rsidP="004C346B">
      <w:pPr>
        <w:pStyle w:val="Paragraph"/>
      </w:pPr>
      <w:r w:rsidRPr="000B70C6">
        <w:t>T</w:t>
      </w:r>
      <w:r w:rsidR="54AFCCBD" w:rsidRPr="000B70C6">
        <w:t xml:space="preserve">he aim of the study </w:t>
      </w:r>
      <w:r w:rsidRPr="000B70C6">
        <w:t>was to use ML approaches to explore</w:t>
      </w:r>
      <w:r w:rsidR="54AFCCBD" w:rsidRPr="000B70C6">
        <w:t xml:space="preserve"> the role of </w:t>
      </w:r>
      <w:r w:rsidR="00836357" w:rsidRPr="000B70C6">
        <w:t>CR</w:t>
      </w:r>
      <w:r w:rsidR="54AFCCBD" w:rsidRPr="000B70C6">
        <w:t xml:space="preserve"> in conversion </w:t>
      </w:r>
      <w:r w:rsidR="00250A4B">
        <w:t>of</w:t>
      </w:r>
      <w:r w:rsidR="00250A4B" w:rsidRPr="000B70C6">
        <w:t xml:space="preserve"> </w:t>
      </w:r>
      <w:r w:rsidR="54AFCCBD" w:rsidRPr="000B70C6">
        <w:t xml:space="preserve">MCI to </w:t>
      </w:r>
      <w:r w:rsidR="00836357" w:rsidRPr="000B70C6">
        <w:t>dementia</w:t>
      </w:r>
      <w:r w:rsidR="54AFCCBD" w:rsidRPr="000B70C6">
        <w:t xml:space="preserve">. </w:t>
      </w:r>
      <w:r w:rsidRPr="000B70C6">
        <w:t>For</w:t>
      </w:r>
      <w:r w:rsidR="54AFCCBD" w:rsidRPr="000B70C6">
        <w:t xml:space="preserve"> this</w:t>
      </w:r>
      <w:r w:rsidRPr="000B70C6">
        <w:t xml:space="preserve"> purpose</w:t>
      </w:r>
      <w:r w:rsidR="54AFCCBD" w:rsidRPr="000B70C6">
        <w:t xml:space="preserve">, we </w:t>
      </w:r>
      <w:r w:rsidR="007C311B">
        <w:t xml:space="preserve">used </w:t>
      </w:r>
      <w:r w:rsidR="007C311B" w:rsidRPr="000B70C6">
        <w:t xml:space="preserve">traditional and ML techniques </w:t>
      </w:r>
      <w:r w:rsidR="007C311B">
        <w:t xml:space="preserve">to </w:t>
      </w:r>
      <w:r w:rsidR="54AFCCBD" w:rsidRPr="000B70C6">
        <w:t>compare</w:t>
      </w:r>
      <w:r w:rsidR="007C311B">
        <w:t xml:space="preserve"> </w:t>
      </w:r>
      <w:r w:rsidR="54AFCCBD" w:rsidRPr="000B70C6">
        <w:t>converter and non-converter participants</w:t>
      </w:r>
      <w:r w:rsidRPr="000B70C6">
        <w:t>. We a</w:t>
      </w:r>
      <w:r w:rsidR="006645F2" w:rsidRPr="000B70C6">
        <w:t>lso</w:t>
      </w:r>
      <w:r w:rsidR="54AFCCBD" w:rsidRPr="000B70C6">
        <w:t xml:space="preserve"> discuss the predictive value of CR proxies </w:t>
      </w:r>
      <w:r w:rsidR="00250A4B">
        <w:t>in relation</w:t>
      </w:r>
      <w:r w:rsidR="00250A4B" w:rsidRPr="000B70C6">
        <w:t xml:space="preserve"> </w:t>
      </w:r>
      <w:r w:rsidR="54AFCCBD" w:rsidRPr="000B70C6">
        <w:t xml:space="preserve">to the most </w:t>
      </w:r>
      <w:r w:rsidRPr="000B70C6">
        <w:t xml:space="preserve">accurate </w:t>
      </w:r>
      <w:r w:rsidR="54AFCCBD" w:rsidRPr="000B70C6">
        <w:t>ML models.</w:t>
      </w:r>
    </w:p>
    <w:p w14:paraId="2727EA06" w14:textId="77777777" w:rsidR="002D6D99" w:rsidRPr="000B70C6" w:rsidRDefault="002D6D99" w:rsidP="54AFCCBD">
      <w:pPr>
        <w:spacing w:line="360" w:lineRule="auto"/>
        <w:rPr>
          <w:rFonts w:ascii="Times New Roman" w:eastAsia="Times New Roman" w:hAnsi="Times New Roman"/>
          <w:color w:val="1C1D1E"/>
        </w:rPr>
      </w:pPr>
    </w:p>
    <w:p w14:paraId="4149A7B8" w14:textId="77777777" w:rsidR="006C7530" w:rsidRPr="000B70C6" w:rsidRDefault="006C7530" w:rsidP="00DC1426">
      <w:pPr>
        <w:pStyle w:val="Ttulo1"/>
        <w:rPr>
          <w:lang w:val="en-GB"/>
        </w:rPr>
      </w:pPr>
      <w:r w:rsidRPr="000B70C6">
        <w:rPr>
          <w:lang w:val="en-GB"/>
        </w:rPr>
        <w:t>Materials and Methods</w:t>
      </w:r>
    </w:p>
    <w:p w14:paraId="41B418E2" w14:textId="77777777" w:rsidR="002D6D99" w:rsidRPr="000B70C6" w:rsidRDefault="002D6D99" w:rsidP="54AFCCBD">
      <w:pPr>
        <w:spacing w:line="360" w:lineRule="auto"/>
        <w:rPr>
          <w:rFonts w:ascii="Times New Roman" w:eastAsia="Times New Roman" w:hAnsi="Times New Roman"/>
          <w:color w:val="1C1D1E"/>
        </w:rPr>
      </w:pPr>
    </w:p>
    <w:p w14:paraId="352B642E" w14:textId="77777777" w:rsidR="00044780" w:rsidRPr="00245F51" w:rsidRDefault="00044780" w:rsidP="54AFCCBD">
      <w:pPr>
        <w:spacing w:line="360" w:lineRule="auto"/>
        <w:rPr>
          <w:rFonts w:ascii="Times New Roman" w:eastAsia="Times New Roman" w:hAnsi="Times New Roman"/>
          <w:i/>
          <w:iCs/>
          <w:color w:val="1C1D1E"/>
        </w:rPr>
      </w:pPr>
      <w:r w:rsidRPr="000B70C6">
        <w:rPr>
          <w:rFonts w:ascii="Times New Roman" w:eastAsia="Times New Roman" w:hAnsi="Times New Roman"/>
          <w:i/>
          <w:iCs/>
          <w:color w:val="1C1D1E"/>
          <w:shd w:val="clear" w:color="auto" w:fill="FFFFFF"/>
        </w:rPr>
        <w:t>Participants</w:t>
      </w:r>
    </w:p>
    <w:p w14:paraId="5CAEF686" w14:textId="1DD591D9" w:rsidR="00F30CB2" w:rsidRPr="000B70C6" w:rsidRDefault="1E98346E" w:rsidP="54AFCCBD">
      <w:pPr>
        <w:pStyle w:val="Paragraph"/>
      </w:pPr>
      <w:r w:rsidRPr="000B70C6">
        <w:t xml:space="preserve">The study included 169 participants aged over 50 years (range 50–87 years) who completed a baseline assessment and attended </w:t>
      </w:r>
      <w:r w:rsidR="00682CCF" w:rsidRPr="000B70C6">
        <w:t xml:space="preserve">a </w:t>
      </w:r>
      <w:r w:rsidRPr="000B70C6">
        <w:t>follow-up</w:t>
      </w:r>
      <w:r w:rsidR="00682CCF" w:rsidRPr="000B70C6">
        <w:t xml:space="preserve"> evaluation</w:t>
      </w:r>
      <w:r w:rsidRPr="000B70C6">
        <w:t xml:space="preserve"> for about 54 months within </w:t>
      </w:r>
      <w:r w:rsidR="00245F51">
        <w:t>an</w:t>
      </w:r>
      <w:r w:rsidRPr="000B70C6">
        <w:t xml:space="preserve"> on-going longitudinal study</w:t>
      </w:r>
      <w:r w:rsidR="007C311B">
        <w:t>, which</w:t>
      </w:r>
      <w:r w:rsidR="006F04E5" w:rsidRPr="000B70C6">
        <w:t xml:space="preserve"> </w:t>
      </w:r>
      <w:r w:rsidR="00F66E7E">
        <w:t>beg</w:t>
      </w:r>
      <w:r w:rsidR="007C311B">
        <w:t>a</w:t>
      </w:r>
      <w:r w:rsidR="00F66E7E">
        <w:t xml:space="preserve">n </w:t>
      </w:r>
      <w:r w:rsidR="006645F2" w:rsidRPr="000B70C6">
        <w:t xml:space="preserve">in </w:t>
      </w:r>
      <w:r w:rsidR="006F04E5" w:rsidRPr="000B70C6">
        <w:t>2008</w:t>
      </w:r>
      <w:r w:rsidR="00EF4CE0" w:rsidRPr="000B70C6">
        <w:t xml:space="preserve"> </w:t>
      </w:r>
      <w:r w:rsidR="00156D24" w:rsidRPr="0048353C">
        <w:fldChar w:fldCharType="begin" w:fldLock="1"/>
      </w:r>
      <w:r w:rsidR="002D19B0">
        <w:instrText>ADDIN CSL_CITATION {"citationItems":[{"id":"ITEM-1","itemData":{"author":[{"dropping-particle":"","family":"Juncos-Rabadán","given":"Onesimo","non-dropping-particle":"","parse-names":false,"suffix":""},{"dropping-particle":"","family":"Pereiro","given":"Arturo X","non-dropping-particle":"","parse-names":false,"suffix":""},{"dropping-particle":"","family":"Facal","given":"David","non-dropping-particle":"","parse-names":false,"suffix":""},{"dropping-particle":"","family":"Rodriguez","given":"Nelly","non-dropping-particle":"","parse-names":false,"suffix":""},{"dropping-particle":"","family":"Lojo","given":"Cristina","non-dropping-particle":"","parse-names":false,"suffix":""},{"dropping-particle":"","family":"Caamaño","given":"Jose A","non-dropping-particle":"","parse-names":false,"suffix":""},{"dropping-particle":"","family":"Sueiro","given":"Jesus","non-dropping-particle":"","parse-names":false,"suffix":""},{"dropping-particle":"","family":"Boveda","given":"Julia","non-dropping-particle":"","parse-names":false,"suffix":""},{"dropping-particle":"","family":"Eiroa","given":"Peregrina","non-dropping-particle":"","parse-names":false,"suffix":""}],"container-title":"Dementia and geriatric cognitive disorders","id":"ITEM-1","issue":"4","issued":{"date-parts":[["2012"]]},"page":"226-232","publisher":"Karger Publishers","title":"Prevalence and correlates of cognitive impairment in adults with subjective memory complaints in primary care centres","type":"article-journal","volume":"33"},"uris":["http://www.mendeley.com/documents/?uuid=43a2398f-2089-46ea-a21b-6c6c87762686"]}],"mendeley":{"formattedCitation":"&lt;sup&gt;23&lt;/sup&gt;","plainTextFormattedCitation":"23","previouslyFormattedCitation":"(Juncos-Rabadán et al., 2012)"},"properties":{"noteIndex":0},"schema":"https://github.com/citation-style-language/schema/raw/master/csl-citation.json"}</w:instrText>
      </w:r>
      <w:r w:rsidR="00156D24" w:rsidRPr="0048353C">
        <w:fldChar w:fldCharType="separate"/>
      </w:r>
      <w:r w:rsidR="002D19B0" w:rsidRPr="002D19B0">
        <w:rPr>
          <w:noProof/>
          <w:vertAlign w:val="superscript"/>
        </w:rPr>
        <w:t>23</w:t>
      </w:r>
      <w:r w:rsidR="00156D24" w:rsidRPr="0048353C">
        <w:fldChar w:fldCharType="end"/>
      </w:r>
      <w:r w:rsidRPr="000B70C6">
        <w:t xml:space="preserve">. All participants were referred </w:t>
      </w:r>
      <w:r w:rsidR="006645F2" w:rsidRPr="000B70C6">
        <w:t xml:space="preserve">to us </w:t>
      </w:r>
      <w:r w:rsidRPr="000B70C6">
        <w:t xml:space="preserve">by general practitioners according to the study criteria of subjective cognitive complaints (participants spontaneously reported that their </w:t>
      </w:r>
      <w:r w:rsidR="00A55E56" w:rsidRPr="000B70C6">
        <w:t xml:space="preserve">cognition </w:t>
      </w:r>
      <w:r w:rsidRPr="000B70C6">
        <w:t xml:space="preserve">was not as good as before) and the absence of prior diagnosis of cognitive impairment, clinical stroke, traumatic brain injury, motor–sensory defects, alcohol or drug abuse/dependence or diagnosis of any significant medical or psychiatric illnesses. </w:t>
      </w:r>
    </w:p>
    <w:p w14:paraId="3F346D43" w14:textId="00A6D684" w:rsidR="002774D3" w:rsidRPr="000B70C6" w:rsidRDefault="00F30CB2" w:rsidP="00F30CB2">
      <w:pPr>
        <w:pStyle w:val="Paragraph"/>
      </w:pPr>
      <w:r w:rsidRPr="000B70C6">
        <w:t xml:space="preserve">At baseline, the sample comprised 101 CU participants as </w:t>
      </w:r>
      <w:r w:rsidR="006645F2" w:rsidRPr="000B70C6">
        <w:t xml:space="preserve">the </w:t>
      </w:r>
      <w:r w:rsidRPr="000B70C6">
        <w:t xml:space="preserve">control group (49.8%) and 68 </w:t>
      </w:r>
      <w:r w:rsidR="006645F2" w:rsidRPr="000B70C6">
        <w:t xml:space="preserve">participants </w:t>
      </w:r>
      <w:r w:rsidRPr="000B70C6">
        <w:t>who fulfilled the core NIA-AA 2011 MCI criteria</w:t>
      </w:r>
      <w:r w:rsidR="00943C03" w:rsidRPr="000B70C6">
        <w:t xml:space="preserve"> </w:t>
      </w:r>
      <w:r w:rsidR="00156D24" w:rsidRPr="0048353C">
        <w:fldChar w:fldCharType="begin" w:fldLock="1"/>
      </w:r>
      <w:r w:rsidR="002D19B0">
        <w:instrText>ADDIN CSL_CITATION {"citationItems":[{"id":"ITEM-1","itemData":{"DOI":"10.1016/j.jalz.2011.03.008","ISSN":"1552-5279","PMID":"21514249","abstract":"The National Institute on Aging and the Alzheimer's Association charged a workgroup with the task of developing criteria for the symptomatic predementia phase of Alzheimer's disease (AD), referred to in this article as mild cognitive impairment due to AD. The workgroup developed the following two sets of criteria: (1) core clinical criteria that could be used by healthcare providers without access to advanced imaging techniques or cerebrospinal fluid analysis, and (2) research criteria that could be used in clinical research settings, including clinical trials. The second set of criteria incorporate the use of biomarkers based on imaging and cerebrospinal fluid measures. The final set of criteria for mild cognitive impairment due to AD has four levels of certainty, depending on the presence and nature of the biomarker findings. Considerable work is needed to validate the criteria that use biomarkers and to standardize biomarker analysis for use in community settings.","author":[{"dropping-particle":"","family":"Albert","given":"Marilyn S","non-dropping-particle":"","parse-names":false,"suffix":""},{"dropping-particle":"","family":"DeKosky","given":"Steven T","non-dropping-particle":"","parse-names":false,"suffix":""},{"dropping-particle":"","family":"Dickson","given":"Dennis","non-dropping-particle":"","parse-names":false,"suffix":""},{"dropping-particle":"","family":"Dubois","given":"Bruno","non-dropping-particle":"","parse-names":false,"suffix":""},{"dropping-particle":"","family":"Feldman","given":"Howard H","non-dropping-particle":"","parse-names":false,"suffix":""},{"dropping-particle":"","family":"Fox","given":"Nick C","non-dropping-particle":"","parse-names":false,"suffix":""},{"dropping-particle":"","family":"Gamst","given":"Anthony","non-dropping-particle":"","parse-names":false,"suffix":""},{"dropping-particle":"","family":"Holtzman","given":"David M","non-dropping-particle":"","parse-names":false,"suffix":""},{"dropping-particle":"","family":"Jagust","given":"William J","non-dropping-particle":"","parse-names":false,"suffix":""},{"dropping-particle":"","family":"Petersen","given":"Ronald C","non-dropping-particle":"","parse-names":false,"suffix":""},{"dropping-particle":"","family":"Snyder","given":"Peter J","non-dropping-particle":"","parse-names":false,"suffix":""},{"dropping-particle":"","family":"Carrillo","given":"Maria C","non-dropping-particle":"","parse-names":false,"suffix":""},{"dropping-particle":"","family":"Thies","given":"Bill","non-dropping-particle":"","parse-names":false,"suffix":""},{"dropping-particle":"","family":"Phelps","given":"Creighton H","non-dropping-particle":"","parse-names":false,"suffix":""}],"container-title":"Alzheimer's &amp; dementia : the journal of the Alzheimer's Association","id":"ITEM-1","issue":"3","issued":{"date-parts":[["2011","5"]]},"page":"270-9","publisher":"Elsevier Ltd","title":"The diagnosis of mild cognitive impairment due to Alzheimer's disease: recommendations from the National Institute on Aging-Alzheimer's Association workgroups on diagnostic guidelines for Alzheimer's disease.","type":"article-journal","volume":"7"},"uris":["http://www.mendeley.com/documents/?uuid=63edac5d-2820-4dd4-a878-7efd335ab441"]}],"mendeley":{"formattedCitation":"&lt;sup&gt;24&lt;/sup&gt;","plainTextFormattedCitation":"24","previouslyFormattedCitation":"(Albert et al., 2011)"},"properties":{"noteIndex":0},"schema":"https://github.com/citation-style-language/schema/raw/master/csl-citation.json"}</w:instrText>
      </w:r>
      <w:r w:rsidR="00156D24" w:rsidRPr="0048353C">
        <w:fldChar w:fldCharType="separate"/>
      </w:r>
      <w:r w:rsidR="002D19B0" w:rsidRPr="002D19B0">
        <w:rPr>
          <w:noProof/>
          <w:vertAlign w:val="superscript"/>
        </w:rPr>
        <w:t>24</w:t>
      </w:r>
      <w:r w:rsidR="00156D24" w:rsidRPr="0048353C">
        <w:fldChar w:fldCharType="end"/>
      </w:r>
      <w:r w:rsidRPr="000B70C6">
        <w:t xml:space="preserve">. The MCI group was distributed according </w:t>
      </w:r>
      <w:r w:rsidR="00AE1B21" w:rsidRPr="000B70C6">
        <w:t xml:space="preserve">to </w:t>
      </w:r>
      <w:r w:rsidRPr="000B70C6">
        <w:t xml:space="preserve">the Petersen criteria </w:t>
      </w:r>
      <w:r w:rsidR="00156D24" w:rsidRPr="0048353C">
        <w:fldChar w:fldCharType="begin" w:fldLock="1"/>
      </w:r>
      <w:r w:rsidR="002D19B0">
        <w:instrText>ADDIN CSL_CITATION {"citationItems":[{"id":"ITEM-1","itemData":{"author":[{"dropping-particle":"","family":"Petersen","given":"Ronald C","non-dropping-particle":"","parse-names":false,"suffix":""}],"container-title":"Journal of internal medicine","id":"ITEM-1","issue":"3","issued":{"date-parts":[["2004"]]},"page":"183-194","publisher":"Wiley Online Library","title":"Mild cognitive impairment as a diagnostic entity","type":"article-journal","volume":"256"},"uris":["http://www.mendeley.com/documents/?uuid=defd6105-b62e-44bc-91ad-07e9b5a443a1"]}],"mendeley":{"formattedCitation":"&lt;sup&gt;25&lt;/sup&gt;","plainTextFormattedCitation":"25","previouslyFormattedCitation":"(Petersen, 2004)"},"properties":{"noteIndex":0},"schema":"https://github.com/citation-style-language/schema/raw/master/csl-citation.json"}</w:instrText>
      </w:r>
      <w:r w:rsidR="00156D24" w:rsidRPr="0048353C">
        <w:fldChar w:fldCharType="separate"/>
      </w:r>
      <w:r w:rsidR="002D19B0" w:rsidRPr="002D19B0">
        <w:rPr>
          <w:noProof/>
          <w:vertAlign w:val="superscript"/>
        </w:rPr>
        <w:t>25</w:t>
      </w:r>
      <w:r w:rsidR="00156D24" w:rsidRPr="0048353C">
        <w:fldChar w:fldCharType="end"/>
      </w:r>
      <w:r w:rsidR="00943C03" w:rsidRPr="000B70C6">
        <w:t xml:space="preserve"> </w:t>
      </w:r>
      <w:r w:rsidRPr="000B70C6">
        <w:t xml:space="preserve">as follows: </w:t>
      </w:r>
      <w:r w:rsidR="1E98346E" w:rsidRPr="000B70C6">
        <w:t xml:space="preserve">22 participants </w:t>
      </w:r>
      <w:r w:rsidR="00250A4B">
        <w:t xml:space="preserve">were included </w:t>
      </w:r>
      <w:r w:rsidR="1E98346E" w:rsidRPr="000B70C6">
        <w:t>in the multidomain amnestic-MCI (ma-MCI) group (13%</w:t>
      </w:r>
      <w:r w:rsidRPr="000B70C6">
        <w:t xml:space="preserve"> of the total sample</w:t>
      </w:r>
      <w:r w:rsidR="1E98346E" w:rsidRPr="000B70C6">
        <w:t xml:space="preserve">), 14 participants in the non-amnestic MCI (na-MCI) group (8.3%) and 32 participants in the single-domain amnestic MCI (sda-MCI) group (18.9%). </w:t>
      </w:r>
      <w:r w:rsidR="007C311B">
        <w:t>The d</w:t>
      </w:r>
      <w:r w:rsidR="007C311B" w:rsidRPr="000B70C6">
        <w:t xml:space="preserve">iagnoses </w:t>
      </w:r>
      <w:r w:rsidR="1E98346E" w:rsidRPr="000B70C6">
        <w:t xml:space="preserve">were made </w:t>
      </w:r>
      <w:r w:rsidR="00AE1B21" w:rsidRPr="000B70C6">
        <w:t xml:space="preserve">by </w:t>
      </w:r>
      <w:r w:rsidR="00250A4B">
        <w:t>considering</w:t>
      </w:r>
      <w:r w:rsidRPr="000B70C6">
        <w:t xml:space="preserve"> clinical and cognitive assessments</w:t>
      </w:r>
      <w:r w:rsidR="1E98346E" w:rsidRPr="000B70C6">
        <w:t xml:space="preserve"> and were reached by consensus at special diagnostic meetings held by the research team. Demographic, health and </w:t>
      </w:r>
      <w:r w:rsidR="00836357" w:rsidRPr="000B70C6">
        <w:t>CR</w:t>
      </w:r>
      <w:r w:rsidR="00F66E7E">
        <w:t>-related</w:t>
      </w:r>
      <w:r w:rsidR="1E98346E" w:rsidRPr="000B70C6">
        <w:t xml:space="preserve"> </w:t>
      </w:r>
      <w:r w:rsidR="00F66E7E">
        <w:t xml:space="preserve">data </w:t>
      </w:r>
      <w:r w:rsidR="007C311B">
        <w:t>for</w:t>
      </w:r>
      <w:r w:rsidR="1E98346E" w:rsidRPr="000B70C6">
        <w:t xml:space="preserve"> the </w:t>
      </w:r>
      <w:r w:rsidR="007C311B">
        <w:t xml:space="preserve">different groups of </w:t>
      </w:r>
      <w:r w:rsidR="00AE1B21" w:rsidRPr="000B70C6">
        <w:t xml:space="preserve">participants </w:t>
      </w:r>
      <w:r w:rsidR="00F66E7E">
        <w:t>are</w:t>
      </w:r>
      <w:r w:rsidR="00F66E7E" w:rsidRPr="000B70C6">
        <w:t xml:space="preserve"> </w:t>
      </w:r>
      <w:r w:rsidR="1E98346E" w:rsidRPr="000B70C6">
        <w:t>show</w:t>
      </w:r>
      <w:r w:rsidR="00F66E7E">
        <w:t>n</w:t>
      </w:r>
      <w:r w:rsidR="1E98346E" w:rsidRPr="000B70C6">
        <w:t xml:space="preserve"> in Table 1. </w:t>
      </w:r>
    </w:p>
    <w:p w14:paraId="59508379" w14:textId="77777777" w:rsidR="00015C95" w:rsidRPr="000B70C6" w:rsidRDefault="00015C95" w:rsidP="54AFCCBD"/>
    <w:p w14:paraId="00D09486" w14:textId="77777777" w:rsidR="00EF12E6" w:rsidRPr="000B70C6" w:rsidRDefault="00FB6905" w:rsidP="00FB6905">
      <w:pPr>
        <w:spacing w:line="360" w:lineRule="auto"/>
        <w:jc w:val="center"/>
        <w:rPr>
          <w:rFonts w:ascii="Times New Roman" w:eastAsia="Times New Roman" w:hAnsi="Times New Roman"/>
          <w:color w:val="1C1D1E"/>
          <w:sz w:val="22"/>
          <w:szCs w:val="22"/>
          <w:shd w:val="clear" w:color="auto" w:fill="FFFFFF"/>
        </w:rPr>
      </w:pPr>
      <w:r>
        <w:rPr>
          <w:rFonts w:ascii="Times New Roman" w:eastAsia="Times New Roman" w:hAnsi="Times New Roman"/>
          <w:color w:val="1C1D1E"/>
          <w:sz w:val="22"/>
          <w:szCs w:val="22"/>
          <w:shd w:val="clear" w:color="auto" w:fill="FFFFFF"/>
        </w:rPr>
        <w:t>(to insert Table 1 around here)</w:t>
      </w:r>
    </w:p>
    <w:p w14:paraId="5CDE8ACE" w14:textId="77777777" w:rsidR="00D802BE" w:rsidRPr="000B70C6" w:rsidRDefault="00D802BE" w:rsidP="54AFCCBD">
      <w:pPr>
        <w:spacing w:line="360" w:lineRule="auto"/>
        <w:rPr>
          <w:rFonts w:ascii="Times New Roman" w:eastAsia="Times New Roman" w:hAnsi="Times New Roman"/>
        </w:rPr>
      </w:pPr>
    </w:p>
    <w:p w14:paraId="607FEE88" w14:textId="77777777" w:rsidR="00044780" w:rsidRPr="000B70C6" w:rsidRDefault="00044780" w:rsidP="2DA2E08D">
      <w:pPr>
        <w:spacing w:line="360" w:lineRule="auto"/>
        <w:rPr>
          <w:rFonts w:ascii="Times New Roman" w:eastAsia="Times New Roman" w:hAnsi="Times New Roman"/>
          <w:i/>
          <w:iCs/>
          <w:color w:val="1C1D1E"/>
        </w:rPr>
      </w:pPr>
      <w:r w:rsidRPr="000B70C6">
        <w:rPr>
          <w:rFonts w:ascii="Times New Roman" w:eastAsia="Times New Roman" w:hAnsi="Times New Roman"/>
          <w:i/>
          <w:iCs/>
          <w:color w:val="1C1D1E"/>
          <w:shd w:val="clear" w:color="auto" w:fill="FFFFFF"/>
        </w:rPr>
        <w:t>Baseline assessment</w:t>
      </w:r>
      <w:r w:rsidR="00206213" w:rsidRPr="000B70C6">
        <w:rPr>
          <w:rFonts w:ascii="Times New Roman" w:eastAsia="Times New Roman" w:hAnsi="Times New Roman"/>
          <w:i/>
          <w:iCs/>
          <w:color w:val="1C1D1E"/>
          <w:shd w:val="clear" w:color="auto" w:fill="FFFFFF"/>
        </w:rPr>
        <w:t xml:space="preserve"> </w:t>
      </w:r>
      <w:r w:rsidR="002709E6" w:rsidRPr="000B70C6">
        <w:rPr>
          <w:rFonts w:ascii="Times New Roman" w:eastAsia="Times New Roman" w:hAnsi="Times New Roman"/>
          <w:i/>
          <w:iCs/>
          <w:color w:val="1C1D1E"/>
          <w:shd w:val="clear" w:color="auto" w:fill="FFFFFF"/>
        </w:rPr>
        <w:t>and diagnosis</w:t>
      </w:r>
    </w:p>
    <w:p w14:paraId="26EEB9B7" w14:textId="265EEA4A" w:rsidR="00015C95" w:rsidRPr="000B70C6" w:rsidRDefault="1E98346E" w:rsidP="54AFCCBD">
      <w:pPr>
        <w:pStyle w:val="Paragraph"/>
      </w:pPr>
      <w:r w:rsidRPr="000B70C6">
        <w:t>The baseline assessments were conducted between 2 January 2008 and 11 November 2012 by psychologist</w:t>
      </w:r>
      <w:r w:rsidR="001B3DDE" w:rsidRPr="000B70C6">
        <w:t>s</w:t>
      </w:r>
      <w:r w:rsidRPr="000B70C6">
        <w:t xml:space="preserve"> </w:t>
      </w:r>
      <w:r w:rsidR="00AE1B21" w:rsidRPr="000B70C6">
        <w:t xml:space="preserve">specialising </w:t>
      </w:r>
      <w:r w:rsidRPr="000B70C6">
        <w:t xml:space="preserve">in </w:t>
      </w:r>
      <w:r w:rsidR="00250A4B">
        <w:t>p</w:t>
      </w:r>
      <w:r w:rsidR="00250A4B" w:rsidRPr="000B70C6">
        <w:t>sycho</w:t>
      </w:r>
      <w:r w:rsidRPr="000B70C6">
        <w:t xml:space="preserve">gerontology and </w:t>
      </w:r>
      <w:r w:rsidR="00AE1B21" w:rsidRPr="000B70C6">
        <w:t xml:space="preserve">with </w:t>
      </w:r>
      <w:r w:rsidRPr="000B70C6">
        <w:t xml:space="preserve">training in </w:t>
      </w:r>
      <w:r w:rsidR="00250A4B">
        <w:t>n</w:t>
      </w:r>
      <w:r w:rsidR="00250A4B" w:rsidRPr="000B70C6">
        <w:t xml:space="preserve">europsychological </w:t>
      </w:r>
      <w:r w:rsidRPr="000B70C6">
        <w:t>assessment. Participants underwent a demographic and health interview and completed extensive neuropsychological and cognitive assessment, including the California Verbal Learning Test (CVLT)</w:t>
      </w:r>
      <w:r w:rsidR="00B21640" w:rsidRPr="000B70C6">
        <w:t xml:space="preserve"> </w:t>
      </w:r>
      <w:r w:rsidR="00156D24" w:rsidRPr="0048353C">
        <w:fldChar w:fldCharType="begin" w:fldLock="1"/>
      </w:r>
      <w:r w:rsidR="002D19B0">
        <w:instrText>ADDIN CSL_CITATION {"citationItems":[{"id":"ITEM-1","itemData":{"abstract":"\"The California Verbal Learning Test (CVLT) is one of the first assessment instruments to quantify and provide normative data reflecting the multifactorial ways in which examinees learn, or fail to learn, verbal material. The CVLT's assessment of learning strategies, processes, and errors is designed for use in both clinical and research practice\"--Manual.","author":[{"dropping-particle":"","family":"Delis","given":"Dean C","non-dropping-particle":"","parse-names":false,"suffix":""},{"dropping-particle":"","family":"Kramer","given":"Joel H","non-dropping-particle":"","parse-names":false,"suffix":""},{"dropping-particle":"","family":"Kaplan","given":"Edith","non-dropping-particle":"","parse-names":false,"suffix":""},{"dropping-particle":"","family":"Thompkins","given":"Beth Anne Ober","non-dropping-particle":"","parse-names":false,"suffix":""}],"edition":"Psychologi","editor":[{"dropping-particle":"","family":"Psychological Corporation","given":"1987","non-dropping-particle":"","parse-names":false,"suffix":""}],"id":"ITEM-1","issued":{"date-parts":[["1987"]]},"number-of-pages":"91 pages","publisher":"Psychological Corporation","publisher-place":"San Antonio, Texas","title":"CVLT: California Verbal Learning Test-Adult Version: Manual","type":"book"},"uris":["http://www.mendeley.com/documents/?uuid=bbe93e07-62bf-485c-8284-2bfd6d116f57"]},{"id":"ITEM-2","itemData":{"author":[{"dropping-particle":"","family":"Benedet","given":"Mar\\'\\ia Jesús","non-dropping-particle":"","parse-names":false,"suffix":""},{"dropping-particle":"","family":"Alejandre","given":"Mar\\'\\ia Ángeles","non-dropping-particle":"","parse-names":false,"suffix":""}],"id":"ITEM-2","issued":{"date-parts":[["1998"]]},"publisher":"Tea Madrid","title":"TAVEC: test de aprendizaje verbal España-Complutense","type":"book"},"uris":["http://www.mendeley.com/documents/?uuid=a1f14a2a-f057-4fd7-886c-dff204e5c865"]}],"mendeley":{"formattedCitation":"&lt;sup&gt;26,27&lt;/sup&gt;","plainTextFormattedCitation":"26,27","previouslyFormattedCitation":"(Delis et al., 1987; Benedet and Alejandre, 1998)"},"properties":{"noteIndex":0},"schema":"https://github.com/citation-style-language/schema/raw/master/csl-citation.json"}</w:instrText>
      </w:r>
      <w:r w:rsidR="00156D24" w:rsidRPr="0048353C">
        <w:fldChar w:fldCharType="separate"/>
      </w:r>
      <w:r w:rsidR="002D19B0" w:rsidRPr="002D19B0">
        <w:rPr>
          <w:noProof/>
          <w:vertAlign w:val="superscript"/>
        </w:rPr>
        <w:t>26,27</w:t>
      </w:r>
      <w:r w:rsidR="00156D24" w:rsidRPr="0048353C">
        <w:fldChar w:fldCharType="end"/>
      </w:r>
      <w:r w:rsidRPr="000B70C6">
        <w:t xml:space="preserve"> and the Spanish</w:t>
      </w:r>
      <w:r w:rsidR="00D27D4A">
        <w:t>, revised</w:t>
      </w:r>
      <w:r w:rsidRPr="000B70C6">
        <w:t xml:space="preserve"> version of the Cambridge Cognitive Examination (CAMCOG-R), </w:t>
      </w:r>
      <w:r w:rsidR="00AE1B21" w:rsidRPr="000B70C6">
        <w:t xml:space="preserve">which comprises </w:t>
      </w:r>
      <w:r w:rsidRPr="000B70C6">
        <w:t>subscales for specific domains such as language, attention–calculation, praxis and executive functioning and is sensitive to MCI detection</w:t>
      </w:r>
      <w:r w:rsidR="005E4FB7" w:rsidRPr="000B70C6">
        <w:t xml:space="preserve"> </w:t>
      </w:r>
      <w:r w:rsidR="00156D24" w:rsidRPr="0048353C">
        <w:fldChar w:fldCharType="begin" w:fldLock="1"/>
      </w:r>
      <w:r w:rsidR="002D19B0">
        <w:instrText>ADDIN CSL_CITATION {"citationItems":[{"id":"ITEM-1","itemData":{"author":[{"dropping-particle":"","family":"Conde-Sala","given":"Josep L","non-dropping-particle":"","parse-names":false,"suffix":""},{"dropping-particle":"","family":"Garre-Olmo","given":"Josep","non-dropping-particle":"","parse-names":false,"suffix":""},{"dropping-particle":"","family":"Vilalta-Franch","given":"Joan","non-dropping-particle":"","parse-names":false,"suffix":""},{"dropping-particle":"","family":"Llinas-Regla","given":"Jordi","non-dropping-particle":"","parse-names":false,"suffix":""},{"dropping-particle":"","family":"Turró-Garriga","given":"Oriol","non-dropping-particle":"","parse-names":false,"suffix":""},{"dropping-particle":"","family":"Lozano-Gallego","given":"Manuela","non-dropping-particle":"","parse-names":false,"suffix":""},{"dropping-particle":"","family":"Hernández-Ferrándiz","given":"Marta","non-dropping-particle":"","parse-names":false,"suffix":""},{"dropping-particle":"","family":"Pericot-Nierga","given":"Immaculada","non-dropping-particle":"","parse-names":false,"suffix":""},{"dropping-particle":"","family":"López-Pousa","given":"Secundino","non-dropping-particle":"","parse-names":false,"suffix":""}],"container-title":"International Psychogeriatrics","id":"ITEM-1","issue":"6","issued":{"date-parts":[["2012"]]},"page":"948-958","publisher":"Cambridge University Press","title":"Predictors of cognitive decline in Alzheimer's disease and mild cognitive impairment using the CAMCOG: a five-year follow-up","type":"article-journal","volume":"24"},"uris":["http://www.mendeley.com/documents/?uuid=40f42ebe-28e0-4b9f-9542-010a84d73fb6"]}],"mendeley":{"formattedCitation":"&lt;sup&gt;28&lt;/sup&gt;","plainTextFormattedCitation":"28","previouslyFormattedCitation":"(Conde-Sala et al., 2012)"},"properties":{"noteIndex":0},"schema":"https://github.com/citation-style-language/schema/raw/master/csl-citation.json"}</w:instrText>
      </w:r>
      <w:r w:rsidR="00156D24" w:rsidRPr="0048353C">
        <w:fldChar w:fldCharType="separate"/>
      </w:r>
      <w:r w:rsidR="002D19B0" w:rsidRPr="002D19B0">
        <w:rPr>
          <w:noProof/>
          <w:vertAlign w:val="superscript"/>
        </w:rPr>
        <w:t>28</w:t>
      </w:r>
      <w:r w:rsidR="00156D24" w:rsidRPr="0048353C">
        <w:fldChar w:fldCharType="end"/>
      </w:r>
      <w:r w:rsidRPr="000B70C6">
        <w:t xml:space="preserve">. </w:t>
      </w:r>
      <w:r w:rsidR="00F66E7E">
        <w:t>In relation to</w:t>
      </w:r>
      <w:r w:rsidR="00F66E7E" w:rsidRPr="000B70C6">
        <w:t xml:space="preserve"> </w:t>
      </w:r>
      <w:r w:rsidRPr="000B70C6">
        <w:t xml:space="preserve">health status, the Charlson Comorbidity Index was obtained from the medical history, and history of memory disorders in the family was </w:t>
      </w:r>
      <w:r w:rsidR="00F66E7E">
        <w:t>considered</w:t>
      </w:r>
      <w:r w:rsidR="00F66E7E" w:rsidRPr="000B70C6">
        <w:t xml:space="preserve"> </w:t>
      </w:r>
      <w:r w:rsidRPr="000B70C6">
        <w:t xml:space="preserve">separately (Yes – No response).  </w:t>
      </w:r>
      <w:r w:rsidR="00D27D4A">
        <w:t>D</w:t>
      </w:r>
      <w:r w:rsidR="00D27D4A" w:rsidRPr="000B70C6">
        <w:t xml:space="preserve">emographic </w:t>
      </w:r>
      <w:r w:rsidRPr="000B70C6">
        <w:t>and health changes were recorded</w:t>
      </w:r>
      <w:r w:rsidR="00D27D4A" w:rsidRPr="00D27D4A">
        <w:t xml:space="preserve"> </w:t>
      </w:r>
      <w:r w:rsidR="00D27D4A">
        <w:t>during follow-up assessments</w:t>
      </w:r>
      <w:r w:rsidR="00F66E7E">
        <w:t>;</w:t>
      </w:r>
      <w:r w:rsidR="00F66E7E" w:rsidRPr="000B70C6">
        <w:t xml:space="preserve"> </w:t>
      </w:r>
      <w:r w:rsidRPr="000B70C6">
        <w:t xml:space="preserve">all participants underwent the same cognitive assessment </w:t>
      </w:r>
      <w:r w:rsidR="00F66E7E">
        <w:t xml:space="preserve">as before </w:t>
      </w:r>
      <w:r w:rsidRPr="000B70C6">
        <w:t xml:space="preserve">and </w:t>
      </w:r>
      <w:r w:rsidR="00AE1B21" w:rsidRPr="000B70C6">
        <w:t xml:space="preserve">were </w:t>
      </w:r>
      <w:r w:rsidRPr="000B70C6">
        <w:t>re-diagnosed by the same research team, again by consensus at specific meetings.</w:t>
      </w:r>
    </w:p>
    <w:p w14:paraId="2F5760F2" w14:textId="0C4F7AD9" w:rsidR="00015C95" w:rsidRPr="000B70C6" w:rsidRDefault="1E98346E" w:rsidP="54AFCCBD">
      <w:pPr>
        <w:pStyle w:val="Paragraph"/>
      </w:pPr>
      <w:r w:rsidRPr="000B70C6">
        <w:t xml:space="preserve">For all the </w:t>
      </w:r>
      <w:r w:rsidR="00D27D4A" w:rsidRPr="000B70C6">
        <w:t>diagnos</w:t>
      </w:r>
      <w:r w:rsidR="00D27D4A">
        <w:t>e</w:t>
      </w:r>
      <w:r w:rsidR="00D27D4A" w:rsidRPr="000B70C6">
        <w:t>s</w:t>
      </w:r>
      <w:r w:rsidRPr="000B70C6">
        <w:t xml:space="preserve">, the cut-off was 1.5 standard deviations (SDs) below age and education norms on the corresponding tests. All participants who displayed normal cognitive performance in the cognitive assessment, even though they reported subjective cognitive complaints, were included in the </w:t>
      </w:r>
      <w:r w:rsidR="00742B5E" w:rsidRPr="000B70C6">
        <w:t>CU-c</w:t>
      </w:r>
      <w:r w:rsidRPr="000B70C6">
        <w:t>ontrol group. For the MCI participants, the general criteria outlined by</w:t>
      </w:r>
      <w:r w:rsidR="00FD3EC6" w:rsidRPr="000B70C6">
        <w:t xml:space="preserve"> </w:t>
      </w:r>
      <w:r w:rsidR="00156D24" w:rsidRPr="0048353C">
        <w:fldChar w:fldCharType="begin" w:fldLock="1"/>
      </w:r>
      <w:r w:rsidR="002D19B0">
        <w:instrText>ADDIN CSL_CITATION {"citationItems":[{"id":"ITEM-1","itemData":{"DOI":"10.1016/j.jalz.2011.03.008","ISSN":"1552-5279","PMID":"21514249","abstract":"The National Institute on Aging and the Alzheimer's Association charged a workgroup with the task of developing criteria for the symptomatic predementia phase of Alzheimer's disease (AD), referred to in this article as mild cognitive impairment due to AD. The workgroup developed the following two sets of criteria: (1) core clinical criteria that could be used by healthcare providers without access to advanced imaging techniques or cerebrospinal fluid analysis, and (2) research criteria that could be used in clinical research settings, including clinical trials. The second set of criteria incorporate the use of biomarkers based on imaging and cerebrospinal fluid measures. The final set of criteria for mild cognitive impairment due to AD has four levels of certainty, depending on the presence and nature of the biomarker findings. Considerable work is needed to validate the criteria that use biomarkers and to standardize biomarker analysis for use in community settings.","author":[{"dropping-particle":"","family":"Albert","given":"Marilyn S","non-dropping-particle":"","parse-names":false,"suffix":""},{"dropping-particle":"","family":"DeKosky","given":"Steven T","non-dropping-particle":"","parse-names":false,"suffix":""},{"dropping-particle":"","family":"Dickson","given":"Dennis","non-dropping-particle":"","parse-names":false,"suffix":""},{"dropping-particle":"","family":"Dubois","given":"Bruno","non-dropping-particle":"","parse-names":false,"suffix":""},{"dropping-particle":"","family":"Feldman","given":"Howard H","non-dropping-particle":"","parse-names":false,"suffix":""},{"dropping-particle":"","family":"Fox","given":"Nick C","non-dropping-particle":"","parse-names":false,"suffix":""},{"dropping-particle":"","family":"Gamst","given":"Anthony","non-dropping-particle":"","parse-names":false,"suffix":""},{"dropping-particle":"","family":"Holtzman","given":"David M","non-dropping-particle":"","parse-names":false,"suffix":""},{"dropping-particle":"","family":"Jagust","given":"William J","non-dropping-particle":"","parse-names":false,"suffix":""},{"dropping-particle":"","family":"Petersen","given":"Ronald C","non-dropping-particle":"","parse-names":false,"suffix":""},{"dropping-particle":"","family":"Snyder","given":"Peter J","non-dropping-particle":"","parse-names":false,"suffix":""},{"dropping-particle":"","family":"Carrillo","given":"Maria C","non-dropping-particle":"","parse-names":false,"suffix":""},{"dropping-particle":"","family":"Thies","given":"Bill","non-dropping-particle":"","parse-names":false,"suffix":""},{"dropping-particle":"","family":"Phelps","given":"Creighton H","non-dropping-particle":"","parse-names":false,"suffix":""}],"container-title":"Alzheimer's &amp; dementia : the journal of the Alzheimer's Association","id":"ITEM-1","issue":"3","issued":{"date-parts":[["2011","5"]]},"page":"270-9","publisher":"Elsevier Ltd","title":"The diagnosis of mild cognitive impairment due to Alzheimer's disease: recommendations from the National Institute on Aging-Alzheimer's Association workgroups on diagnostic guidelines for Alzheimer's disease.","type":"article-journal","volume":"7"},"uris":["http://www.mendeley.com/documents/?uuid=63edac5d-2820-4dd4-a878-7efd335ab441"]}],"mendeley":{"formattedCitation":"&lt;sup&gt;24&lt;/sup&gt;","plainTextFormattedCitation":"24","previouslyFormattedCitation":"(Albert et al., 2011)"},"properties":{"noteIndex":0},"schema":"https://github.com/citation-style-language/schema/raw/master/csl-citation.json"}</w:instrText>
      </w:r>
      <w:r w:rsidR="00156D24" w:rsidRPr="0048353C">
        <w:fldChar w:fldCharType="separate"/>
      </w:r>
      <w:r w:rsidR="002D19B0" w:rsidRPr="002D19B0">
        <w:rPr>
          <w:noProof/>
          <w:vertAlign w:val="superscript"/>
        </w:rPr>
        <w:t>24</w:t>
      </w:r>
      <w:r w:rsidR="00156D24" w:rsidRPr="0048353C">
        <w:fldChar w:fldCharType="end"/>
      </w:r>
      <w:r w:rsidRPr="000B70C6">
        <w:t xml:space="preserve"> were applied: (i) presence of concerns regarding a change in cognition corroborated by an informant; (ii) impairment in one or more cognitive domains; (iii) preservation of independence in functional abilities with minimal aid or assistance; and (iv) not demented according</w:t>
      </w:r>
      <w:r w:rsidR="00F66E7E">
        <w:t xml:space="preserve"> to</w:t>
      </w:r>
      <w:r w:rsidRPr="000B70C6">
        <w:t xml:space="preserve"> the </w:t>
      </w:r>
      <w:r w:rsidR="00F66E7E">
        <w:t xml:space="preserve">criteria considered by </w:t>
      </w:r>
      <w:r w:rsidRPr="000B70C6">
        <w:t xml:space="preserve">NINCDS-ADRDA and </w:t>
      </w:r>
      <w:r w:rsidR="00F66E7E">
        <w:t xml:space="preserve">in the </w:t>
      </w:r>
      <w:r w:rsidRPr="000B70C6">
        <w:t>Diagnostic and Statistical Manual of Mental Disorders Fourth Edition</w:t>
      </w:r>
      <w:r w:rsidR="00F66E7E">
        <w:t>.</w:t>
      </w:r>
      <w:r w:rsidRPr="000B70C6">
        <w:t xml:space="preserve"> For </w:t>
      </w:r>
      <w:r w:rsidR="00F30CB2" w:rsidRPr="000B70C6">
        <w:t>amnestic MCI (</w:t>
      </w:r>
      <w:r w:rsidRPr="000B70C6">
        <w:t>aMCI</w:t>
      </w:r>
      <w:r w:rsidR="00F30CB2" w:rsidRPr="000B70C6">
        <w:t>)</w:t>
      </w:r>
      <w:r w:rsidRPr="000B70C6">
        <w:t>, the criteria proposed by Petersen and colleagues</w:t>
      </w:r>
      <w:r w:rsidR="00FD3EC6" w:rsidRPr="000B70C6">
        <w:t xml:space="preserve"> </w:t>
      </w:r>
      <w:r w:rsidR="00156D24" w:rsidRPr="0048353C">
        <w:fldChar w:fldCharType="begin" w:fldLock="1"/>
      </w:r>
      <w:r w:rsidR="002D19B0">
        <w:instrText>ADDIN CSL_CITATION {"citationItems":[{"id":"ITEM-1","itemData":{"author":[{"dropping-particle":"","family":"Petersen","given":"Ronald C","non-dropping-particle":"","parse-names":false,"suffix":""}],"container-title":"Journal of internal medicine","id":"ITEM-1","issue":"3","issued":{"date-parts":[["2004"]]},"page":"183-194","publisher":"Wiley Online Library","title":"Mild cognitive impairment as a diagnostic entity","type":"article-journal","volume":"256"},"uris":["http://www.mendeley.com/documents/?uuid=defd6105-b62e-44bc-91ad-07e9b5a443a1"]},{"id":"ITEM-2","itemData":{"author":[{"dropping-particle":"","family":"Dubois","given":"Bruno","non-dropping-particle":"","parse-names":false,"suffix":""},{"dropping-particle":"","family":"Feldman","given":"Howard H","non-dropping-particle":"","parse-names":false,"suffix":""},{"dropping-particle":"","family":"Jacova","given":"Claudia","non-dropping-particle":"","parse-names":false,"suffix":""},{"dropping-particle":"","family":"DeKosky","given":"Steven T","non-dropping-particle":"","parse-names":false,"suffix":""},{"dropping-particle":"","family":"Barberger-Gateau","given":"Pascale","non-dropping-particle":"","parse-names":false,"suffix":""},{"dropping-particle":"","family":"Cummings","given":"Jeffrey","non-dropping-particle":"","parse-names":false,"suffix":""},{"dropping-particle":"","family":"Delacourte","given":"André","non-dropping-particle":"","parse-names":false,"suffix":""},{"dropping-particle":"","family":"Galasko","given":"Douglas","non-dropping-particle":"","parse-names":false,"suffix":""},{"dropping-particle":"","family":"Gauthier","given":"Serge","non-dropping-particle":"","parse-names":false,"suffix":""},{"dropping-particle":"","family":"Jicha","given":"Gregory","non-dropping-particle":"","parse-names":false,"suffix":""},{"dropping-particle":"","family":"others","given":"","non-dropping-particle":"","parse-names":false,"suffix":""}],"container-title":"The Lancet Neurology","id":"ITEM-2","issue":"8","issued":{"date-parts":[["2007"]]},"page":"734-746","publisher":"Elsevier","title":"Research criteria for the diagnosis of Alzheimer's disease: revising the NINCDS--ADRDA criteria","type":"article-journal","volume":"6"},"uris":["http://www.mendeley.com/documents/?uuid=00f38fe0-cf8c-44c3-bdbc-49f10f545c9f"]}],"mendeley":{"formattedCitation":"&lt;sup&gt;25,29&lt;/sup&gt;","plainTextFormattedCitation":"25,29","previouslyFormattedCitation":"(Petersen, 2004; Dubois et al., 2007)"},"properties":{"noteIndex":0},"schema":"https://github.com/citation-style-language/schema/raw/master/csl-citation.json"}</w:instrText>
      </w:r>
      <w:r w:rsidR="00156D24" w:rsidRPr="0048353C">
        <w:fldChar w:fldCharType="separate"/>
      </w:r>
      <w:r w:rsidR="002D19B0" w:rsidRPr="002D19B0">
        <w:rPr>
          <w:noProof/>
          <w:vertAlign w:val="superscript"/>
        </w:rPr>
        <w:t>25,29</w:t>
      </w:r>
      <w:r w:rsidR="00156D24" w:rsidRPr="0048353C">
        <w:fldChar w:fldCharType="end"/>
      </w:r>
      <w:r w:rsidRPr="000B70C6">
        <w:t xml:space="preserve"> were applied, </w:t>
      </w:r>
      <w:r w:rsidR="00F66E7E">
        <w:t>and</w:t>
      </w:r>
      <w:r w:rsidR="00F66E7E" w:rsidRPr="000B70C6">
        <w:t xml:space="preserve"> </w:t>
      </w:r>
      <w:r w:rsidRPr="000B70C6">
        <w:t>performance of 1.5 SDs below age norms for two measures of the Spanish version of the CVLT (Short-Term Free Recall and Long-Term Free Recall)</w:t>
      </w:r>
      <w:r w:rsidR="00F66E7E">
        <w:t xml:space="preserve"> was considered to indicate the condition</w:t>
      </w:r>
      <w:r w:rsidRPr="000B70C6">
        <w:t xml:space="preserve">. </w:t>
      </w:r>
      <w:r w:rsidR="00F30CB2" w:rsidRPr="000B70C6">
        <w:t xml:space="preserve">Ma-MCI was diagnosed in those participants who scored below age norms for two measures of the Spanish version of the CVLT (Short-Term Free Recall and Long-Term Free Recall) and below age-related and education-related norms in the MMSE and on at least two subscales of the CAMCOG-R. Participants were diagnosed as sda-MCI when they scored below age norms for the Spanish version of the CVLT, but performed normally in the MMSE and </w:t>
      </w:r>
      <w:r w:rsidR="00493B98">
        <w:t xml:space="preserve">in </w:t>
      </w:r>
      <w:r w:rsidR="00F30CB2" w:rsidRPr="000B70C6">
        <w:t>the CAMCOG-R subscales. Finally, na-MCI</w:t>
      </w:r>
      <w:r w:rsidRPr="000B70C6">
        <w:t xml:space="preserve"> was diagnosed in participants who performed within the normal range in the Spanish version of the CVLT but 1.5 SDs below average in at least one of the other cognitive subscales of the CAMCOG-R.</w:t>
      </w:r>
    </w:p>
    <w:p w14:paraId="462EF7FC" w14:textId="77777777" w:rsidR="00206213" w:rsidRPr="000B70C6" w:rsidRDefault="1E98346E" w:rsidP="54AFCCBD">
      <w:pPr>
        <w:pStyle w:val="Newparagraph"/>
      </w:pPr>
      <w:r w:rsidRPr="000B70C6">
        <w:t xml:space="preserve">The study received approval </w:t>
      </w:r>
      <w:r w:rsidR="00F66E7E">
        <w:t xml:space="preserve">from </w:t>
      </w:r>
      <w:r w:rsidRPr="000B70C6">
        <w:t xml:space="preserve">the Ethics in Clinical Research Committee of the Galician Government and was conducted in accordance with the provisions of the Declaration of Helsinki as revised in </w:t>
      </w:r>
      <w:r w:rsidR="00134D0E" w:rsidRPr="000B70C6">
        <w:t>Seoul</w:t>
      </w:r>
      <w:r w:rsidR="001E3701" w:rsidRPr="000B70C6">
        <w:t xml:space="preserve">, </w:t>
      </w:r>
      <w:r w:rsidRPr="000B70C6">
        <w:t>20</w:t>
      </w:r>
      <w:r w:rsidR="00134D0E" w:rsidRPr="000B70C6">
        <w:t>08</w:t>
      </w:r>
      <w:r w:rsidRPr="000B70C6">
        <w:t xml:space="preserve">. Written informed consent was obtained from all participants prior to the study. </w:t>
      </w:r>
    </w:p>
    <w:p w14:paraId="12EC50BF" w14:textId="77777777" w:rsidR="00785A31" w:rsidRPr="000B70C6" w:rsidRDefault="00785A31" w:rsidP="54AFCCBD">
      <w:pPr>
        <w:spacing w:line="360" w:lineRule="auto"/>
        <w:rPr>
          <w:rFonts w:ascii="Times New Roman" w:eastAsia="Times New Roman" w:hAnsi="Times New Roman"/>
          <w:color w:val="1C1D1E"/>
        </w:rPr>
      </w:pPr>
    </w:p>
    <w:p w14:paraId="0EE26CD5" w14:textId="77777777" w:rsidR="00785A31" w:rsidRPr="000B70C6" w:rsidRDefault="00785A31" w:rsidP="2DA2E08D">
      <w:pPr>
        <w:spacing w:line="360" w:lineRule="auto"/>
        <w:rPr>
          <w:rFonts w:ascii="Times New Roman" w:eastAsia="Times New Roman" w:hAnsi="Times New Roman"/>
          <w:i/>
          <w:iCs/>
          <w:color w:val="1C1D1E"/>
        </w:rPr>
      </w:pPr>
      <w:r w:rsidRPr="000B70C6">
        <w:rPr>
          <w:rFonts w:ascii="Times New Roman" w:eastAsia="Times New Roman" w:hAnsi="Times New Roman"/>
          <w:i/>
          <w:iCs/>
          <w:color w:val="1C1D1E"/>
          <w:shd w:val="clear" w:color="auto" w:fill="FFFFFF"/>
        </w:rPr>
        <w:t>Cognitive reserve proxies</w:t>
      </w:r>
    </w:p>
    <w:p w14:paraId="1F75D8C2" w14:textId="77777777" w:rsidR="00785A31" w:rsidRPr="000B70C6" w:rsidRDefault="00785A31" w:rsidP="54AFCCBD">
      <w:pPr>
        <w:spacing w:line="360" w:lineRule="auto"/>
        <w:rPr>
          <w:rFonts w:ascii="Times New Roman" w:eastAsia="Times New Roman" w:hAnsi="Times New Roman"/>
          <w:i/>
          <w:iCs/>
          <w:color w:val="1C1D1E"/>
        </w:rPr>
      </w:pPr>
    </w:p>
    <w:p w14:paraId="070958DB" w14:textId="2262A9EB" w:rsidR="00785A31" w:rsidRPr="000B70C6" w:rsidRDefault="1E98346E" w:rsidP="54AFCCBD">
      <w:pPr>
        <w:pStyle w:val="Newparagraph"/>
        <w:ind w:firstLine="708"/>
      </w:pPr>
      <w:r w:rsidRPr="000B70C6">
        <w:t>Proxy variables have been used to operationalize the theoretical construct of CR</w:t>
      </w:r>
      <w:r w:rsidR="00FD3EC6" w:rsidRPr="000B70C6">
        <w:t xml:space="preserve"> </w:t>
      </w:r>
      <w:r w:rsidR="00156D24" w:rsidRPr="00D9090F">
        <w:fldChar w:fldCharType="begin" w:fldLock="1"/>
      </w:r>
      <w:r w:rsidR="002D19B0">
        <w:instrText>ADDIN CSL_CITATION {"citationItems":[{"id":"ITEM-1","itemData":{"author":[{"dropping-particle":"","family":"Jones","given":"Richard N","non-dropping-particle":"","parse-names":false,"suffix":""},{"dropping-particle":"","family":"Manly","given":"Jennifer","non-dropping-particle":"","parse-names":false,"suffix":""},{"dropping-particle":"","family":"Glymour","given":"M Maria","non-dropping-particle":"","parse-names":false,"suffix":""},{"dropping-particle":"","family":"Rentz","given":"Dorene M","non-dropping-particle":"","parse-names":false,"suffix":""},{"dropping-particle":"","family":"Jefferson","given":"Angela L","non-dropping-particle":"","parse-names":false,"suffix":""},{"dropping-particle":"","family":"Stern","given":"Yaakov","non-dropping-particle":"","parse-names":false,"suffix":""}],"container-title":"Journal of the International Neuropsychological Society","id":"ITEM-1","issue":"4","issued":{"date-parts":[["2011"]]},"page":"593-601","publisher":"Cambridge University Press","title":"Conceptual and measurement challenges in research on cognitive reserve","type":"article-journal","volume":"17"},"uris":["http://www.mendeley.com/documents/?uuid=c1c7b2cd-5446-479d-9011-b158e9abd374"]}],"mendeley":{"formattedCitation":"&lt;sup&gt;30&lt;/sup&gt;","plainTextFormattedCitation":"30","previouslyFormattedCitation":"(Jones et al., 2011)"},"properties":{"noteIndex":0},"schema":"https://github.com/citation-style-language/schema/raw/master/csl-citation.json"}</w:instrText>
      </w:r>
      <w:r w:rsidR="00156D24" w:rsidRPr="00D9090F">
        <w:fldChar w:fldCharType="separate"/>
      </w:r>
      <w:r w:rsidR="002D19B0" w:rsidRPr="002D19B0">
        <w:rPr>
          <w:noProof/>
          <w:vertAlign w:val="superscript"/>
        </w:rPr>
        <w:t>30</w:t>
      </w:r>
      <w:r w:rsidR="00156D24" w:rsidRPr="00D9090F">
        <w:fldChar w:fldCharType="end"/>
      </w:r>
      <w:r w:rsidRPr="000B70C6">
        <w:t xml:space="preserve">. In this study, an ad hoc questionnaire </w:t>
      </w:r>
      <w:r w:rsidR="00493B98" w:rsidRPr="000B70C6">
        <w:t xml:space="preserve">including the following measures </w:t>
      </w:r>
      <w:r w:rsidRPr="000B70C6">
        <w:t>was administered to the participants: (a) total number of years of formal schooling; (b) occupational attainment, which evaluates the complexity of the profession according to the protocol outlined in the Network for efficiency and standardization of dementia diagnosis (NEST-DD) project</w:t>
      </w:r>
      <w:r w:rsidR="00FD3EC6" w:rsidRPr="000B70C6">
        <w:t xml:space="preserve"> </w:t>
      </w:r>
      <w:r w:rsidR="00156D24" w:rsidRPr="00D9090F">
        <w:fldChar w:fldCharType="begin" w:fldLock="1"/>
      </w:r>
      <w:r w:rsidR="002D19B0">
        <w:instrText>ADDIN CSL_CITATION {"citationItems":[{"id":"ITEM-1","itemData":{"DOI":"10.1212/01.wnl.0000327670.62378.c0","ISBN":"0000327670","ISSN":"00283878","PMID":"18936426","abstract":"BACKGROUND: Previous reports have shown that higher education is associated with more severe brain pathology in patients with Alzheimer disease (AD), suggesting that these individuals have a functional reserve provided by education, which masks the clinical expression of a higher degree of neurodegeneration. It is unknown if a similar reserve mechanism exists in patients with amnestic mild cognitive impairment (aMCI). The aim of this study was to assess the impact of education and occupation on brain glucose metabolism (rCMRglc) measured with FDG-PET in aMCI and in a very large sample of subjects with probable AD (pAD). METHODS: A total of 242 patients with pAD, 72 with aMCI, and 144 healthy controls participated in the study. At follow-up, 21 subjects with aMCI progressed to AD. A regression analysis was conducted (SPM2), with education and occupation as independent variables, and rCMRglc as dependent variable, adjusting for demographic data, global cognitive status, and neuropsychological scores. RESULTS: The analysis showed a significant association between higher education/occupation and lower rCMRglc in posterior temporoparietal cortex and precuneus in pAD and aMCI converters, and no correlation in aMCI nonconverters and healthy controls. This means that, when submitted to FDG-PET for diagnostic evaluation, pAD and aMCI converters with higher education/occupation had, for comparable cognitive impairment, a more severe rCMRglc reduction than the ones with lower education/occupation. CONCLUSIONS: This study suggests that education and occupation may be proxies for brain functional reserve, reducing the severity and delaying the clinical expression of Alzheimer disease (AD) pathology. The results in aMCI converters suggest that functional reserve is already at play in the predementia phase of AD.","author":[{"dropping-particle":"","family":"Garibotto","given":"V.","non-dropping-particle":"","parse-names":false,"suffix":""},{"dropping-particle":"","family":"Borroni","given":"B.","non-dropping-particle":"","parse-names":false,"suffix":""},{"dropping-particle":"","family":"Kalbe","given":"E.","non-dropping-particle":"","parse-names":false,"suffix":""},{"dropping-particle":"","family":"Herholz","given":"K.","non-dropping-particle":"","parse-names":false,"suffix":""},{"dropping-particle":"","family":"Salmon","given":"E.","non-dropping-particle":"","parse-names":false,"suffix":""},{"dropping-particle":"","family":"Holtoff","given":"V.","non-dropping-particle":"","parse-names":false,"suffix":""},{"dropping-particle":"","family":"Sorbi","given":"S.","non-dropping-particle":"","parse-names":false,"suffix":""},{"dropping-particle":"","family":"Cappa","given":"S. F.","non-dropping-particle":"","parse-names":false,"suffix":""},{"dropping-particle":"","family":"Padovani","given":"A.","non-dropping-particle":"","parse-names":false,"suffix":""},{"dropping-particle":"","family":"Fazio","given":"F.","non-dropping-particle":"","parse-names":false,"suffix":""},{"dropping-particle":"","family":"Perani","given":"D.","non-dropping-particle":"","parse-names":false,"suffix":""}],"container-title":"Neurology","id":"ITEM-1","issue":"17","issued":{"date-parts":[["2008"]]},"page":"1342-1349","title":"Education and occupation as proxies for reserve in aMCI converters and AD: FDG-PET evidence","type":"article-journal","volume":"71"},"uris":["http://www.mendeley.com/documents/?uuid=9a186b95-32cb-49da-852c-5817f5a2e342"]}],"mendeley":{"formattedCitation":"&lt;sup&gt;7&lt;/sup&gt;","plainTextFormattedCitation":"7","previouslyFormattedCitation":"(Garibotto et al., 2008)"},"properties":{"noteIndex":0},"schema":"https://github.com/citation-style-language/schema/raw/master/csl-citation.json"}</w:instrText>
      </w:r>
      <w:r w:rsidR="00156D24" w:rsidRPr="00D9090F">
        <w:fldChar w:fldCharType="separate"/>
      </w:r>
      <w:r w:rsidR="002D19B0" w:rsidRPr="002D19B0">
        <w:rPr>
          <w:noProof/>
          <w:vertAlign w:val="superscript"/>
        </w:rPr>
        <w:t>7</w:t>
      </w:r>
      <w:r w:rsidR="00156D24" w:rsidRPr="00D9090F">
        <w:fldChar w:fldCharType="end"/>
      </w:r>
      <w:r w:rsidRPr="000B70C6">
        <w:t>, on a scale of 1–6 (1</w:t>
      </w:r>
      <w:r w:rsidR="00251F74">
        <w:t xml:space="preserve">, </w:t>
      </w:r>
      <w:r w:rsidRPr="000B70C6">
        <w:t>no occupation</w:t>
      </w:r>
      <w:r w:rsidR="00F66E7E">
        <w:t>;</w:t>
      </w:r>
      <w:r w:rsidR="00F66E7E" w:rsidRPr="000B70C6">
        <w:t xml:space="preserve"> </w:t>
      </w:r>
      <w:r w:rsidRPr="000B70C6">
        <w:t>2</w:t>
      </w:r>
      <w:r w:rsidR="00251F74">
        <w:t>,</w:t>
      </w:r>
      <w:r w:rsidR="00245F51">
        <w:t xml:space="preserve"> </w:t>
      </w:r>
      <w:r w:rsidRPr="000B70C6">
        <w:t>unqualified worker</w:t>
      </w:r>
      <w:r w:rsidR="00F66E7E">
        <w:t xml:space="preserve">; </w:t>
      </w:r>
      <w:r w:rsidRPr="000B70C6">
        <w:t>3</w:t>
      </w:r>
      <w:r w:rsidR="00251F74">
        <w:t>,</w:t>
      </w:r>
      <w:r w:rsidR="00F66E7E">
        <w:t xml:space="preserve"> </w:t>
      </w:r>
      <w:r w:rsidRPr="000B70C6">
        <w:t>housewife</w:t>
      </w:r>
      <w:r w:rsidR="00F66E7E">
        <w:t>;</w:t>
      </w:r>
      <w:r w:rsidR="00F66E7E" w:rsidRPr="000B70C6">
        <w:t xml:space="preserve"> </w:t>
      </w:r>
      <w:r w:rsidRPr="000B70C6">
        <w:t>4</w:t>
      </w:r>
      <w:r w:rsidR="00251F74">
        <w:t>,</w:t>
      </w:r>
      <w:r w:rsidR="00245F51">
        <w:t xml:space="preserve"> </w:t>
      </w:r>
      <w:r w:rsidRPr="000B70C6">
        <w:t>qualified worker, small business employee, office worker or sales person</w:t>
      </w:r>
      <w:r w:rsidR="00F66E7E">
        <w:t>;</w:t>
      </w:r>
      <w:r w:rsidR="00F66E7E" w:rsidRPr="000B70C6">
        <w:t xml:space="preserve"> </w:t>
      </w:r>
      <w:r w:rsidRPr="000B70C6">
        <w:t>5</w:t>
      </w:r>
      <w:r w:rsidR="00F66E7E">
        <w:t xml:space="preserve">, </w:t>
      </w:r>
      <w:r w:rsidRPr="000B70C6">
        <w:t>middle-ranking civil servant or manager, small business owner, teacher, or specialist in subordinate position</w:t>
      </w:r>
      <w:r w:rsidR="00F66E7E">
        <w:t xml:space="preserve">; </w:t>
      </w:r>
      <w:r w:rsidRPr="000B70C6">
        <w:t>6</w:t>
      </w:r>
      <w:r w:rsidR="00251F74">
        <w:t>,</w:t>
      </w:r>
      <w:r w:rsidR="00F66E7E">
        <w:t xml:space="preserve"> </w:t>
      </w:r>
      <w:r w:rsidRPr="000B70C6">
        <w:t xml:space="preserve">high-ranking civil servant or director, university lecturer, </w:t>
      </w:r>
      <w:r w:rsidR="00F66E7E">
        <w:t xml:space="preserve">or </w:t>
      </w:r>
      <w:r w:rsidRPr="000B70C6">
        <w:t xml:space="preserve">self-employed </w:t>
      </w:r>
      <w:r w:rsidR="00F66E7E">
        <w:t xml:space="preserve">person </w:t>
      </w:r>
      <w:r w:rsidRPr="000B70C6">
        <w:t xml:space="preserve">with high responsibility); (c) reading habits, </w:t>
      </w:r>
      <w:r w:rsidR="00251F74">
        <w:t>which</w:t>
      </w:r>
      <w:r w:rsidRPr="000B70C6">
        <w:t xml:space="preserve"> evaluates the frequency of reading during the last 3 years on a scale of 0–4 (0</w:t>
      </w:r>
      <w:r w:rsidR="00251F74">
        <w:t xml:space="preserve">, </w:t>
      </w:r>
      <w:r w:rsidRPr="000B70C6">
        <w:t>never</w:t>
      </w:r>
      <w:r w:rsidR="00F66E7E">
        <w:t>;</w:t>
      </w:r>
      <w:r w:rsidR="00F66E7E" w:rsidRPr="000B70C6">
        <w:t xml:space="preserve"> </w:t>
      </w:r>
      <w:r w:rsidRPr="000B70C6">
        <w:t>1</w:t>
      </w:r>
      <w:r w:rsidR="00F66E7E">
        <w:t xml:space="preserve">, </w:t>
      </w:r>
      <w:r w:rsidRPr="000B70C6">
        <w:t>occasionally</w:t>
      </w:r>
      <w:r w:rsidR="00F66E7E">
        <w:t xml:space="preserve">; </w:t>
      </w:r>
      <w:r w:rsidRPr="000B70C6">
        <w:t>2</w:t>
      </w:r>
      <w:r w:rsidR="00F66E7E">
        <w:t xml:space="preserve">, </w:t>
      </w:r>
      <w:r w:rsidRPr="000B70C6">
        <w:t>once a week</w:t>
      </w:r>
      <w:r w:rsidR="00F66E7E">
        <w:t>;</w:t>
      </w:r>
      <w:r w:rsidR="00F66E7E" w:rsidRPr="000B70C6">
        <w:t xml:space="preserve"> </w:t>
      </w:r>
      <w:r w:rsidRPr="000B70C6">
        <w:t>3</w:t>
      </w:r>
      <w:r w:rsidR="00F66E7E">
        <w:t xml:space="preserve">, </w:t>
      </w:r>
      <w:r w:rsidRPr="000B70C6">
        <w:t>twice a week</w:t>
      </w:r>
      <w:r w:rsidR="00F66E7E">
        <w:t>;</w:t>
      </w:r>
      <w:r w:rsidR="00F66E7E" w:rsidRPr="000B70C6">
        <w:t xml:space="preserve"> </w:t>
      </w:r>
      <w:r w:rsidR="00F66E7E">
        <w:t xml:space="preserve">and </w:t>
      </w:r>
      <w:r w:rsidRPr="000B70C6">
        <w:t>4</w:t>
      </w:r>
      <w:r w:rsidR="00F66E7E">
        <w:t xml:space="preserve">, </w:t>
      </w:r>
      <w:r w:rsidRPr="000B70C6">
        <w:t>every</w:t>
      </w:r>
      <w:r w:rsidR="00AE1B21" w:rsidRPr="000B70C6">
        <w:t xml:space="preserve"> </w:t>
      </w:r>
      <w:r w:rsidRPr="000B70C6">
        <w:t>day); (d) frequency of social and cultural activities, which evaluates participation in these activities during the last 3 years on a scale of 0–4 (0</w:t>
      </w:r>
      <w:r w:rsidR="00251F74">
        <w:t xml:space="preserve">, </w:t>
      </w:r>
      <w:r w:rsidRPr="000B70C6">
        <w:t>never</w:t>
      </w:r>
      <w:r w:rsidR="00F66E7E">
        <w:t xml:space="preserve">; </w:t>
      </w:r>
      <w:r w:rsidRPr="000B70C6">
        <w:t>1</w:t>
      </w:r>
      <w:r w:rsidR="00F66E7E">
        <w:t xml:space="preserve">, </w:t>
      </w:r>
      <w:r w:rsidRPr="000B70C6">
        <w:t>rarely</w:t>
      </w:r>
      <w:r w:rsidR="00F66E7E">
        <w:t xml:space="preserve">; </w:t>
      </w:r>
      <w:r w:rsidRPr="000B70C6">
        <w:t>2</w:t>
      </w:r>
      <w:r w:rsidR="00F66E7E">
        <w:t xml:space="preserve">, </w:t>
      </w:r>
      <w:r w:rsidRPr="000B70C6">
        <w:t>occasionally</w:t>
      </w:r>
      <w:r w:rsidR="00F66E7E">
        <w:t>;</w:t>
      </w:r>
      <w:r w:rsidR="00F66E7E" w:rsidRPr="000B70C6">
        <w:t xml:space="preserve"> </w:t>
      </w:r>
      <w:r w:rsidRPr="000B70C6">
        <w:t>3</w:t>
      </w:r>
      <w:r w:rsidR="00F66E7E">
        <w:t xml:space="preserve">, </w:t>
      </w:r>
      <w:r w:rsidRPr="000B70C6">
        <w:t>often</w:t>
      </w:r>
      <w:r w:rsidR="00F66E7E">
        <w:t xml:space="preserve">; </w:t>
      </w:r>
      <w:r w:rsidRPr="000B70C6">
        <w:t>and 4</w:t>
      </w:r>
      <w:r w:rsidR="00F66E7E">
        <w:t>,</w:t>
      </w:r>
      <w:r w:rsidR="001B43B8">
        <w:t xml:space="preserve"> </w:t>
      </w:r>
      <w:r w:rsidRPr="000B70C6">
        <w:t>always). The level of vocabulary knowledge was evaluated by the vocabulary subtest of the Wechsler Adult Intelligence scale</w:t>
      </w:r>
      <w:r w:rsidR="006A2BCD" w:rsidRPr="000B70C6">
        <w:t xml:space="preserve"> </w:t>
      </w:r>
      <w:r w:rsidR="00156D24" w:rsidRPr="00D9090F">
        <w:fldChar w:fldCharType="begin" w:fldLock="1"/>
      </w:r>
      <w:r w:rsidR="002D19B0">
        <w:instrText>ADDIN CSL_CITATION {"citationItems":[{"id":"ITEM-1","itemData":{"author":[{"dropping-particle":"","family":"Wechsler","given":"David","non-dropping-particle":"","parse-names":false,"suffix":""}],"id":"ITEM-1","issued":{"date-parts":[["1997"]]},"publisher":"Psychological Corporation","title":"WAIS-III, Wechsler Adult Intelligence Scale: Administration and Scoring Manual","type":"book"},"uris":["http://www.mendeley.com/documents/?uuid=773cc6cc-9534-477e-bb98-e00b650d7633"]}],"mendeley":{"formattedCitation":"&lt;sup&gt;31&lt;/sup&gt;","plainTextFormattedCitation":"31","previouslyFormattedCitation":"(Wechsler, 1997)"},"properties":{"noteIndex":0},"schema":"https://github.com/citation-style-language/schema/raw/master/csl-citation.json"}</w:instrText>
      </w:r>
      <w:r w:rsidR="00156D24" w:rsidRPr="00D9090F">
        <w:fldChar w:fldCharType="separate"/>
      </w:r>
      <w:r w:rsidR="002D19B0" w:rsidRPr="002D19B0">
        <w:rPr>
          <w:noProof/>
          <w:vertAlign w:val="superscript"/>
        </w:rPr>
        <w:t>31</w:t>
      </w:r>
      <w:r w:rsidR="00156D24" w:rsidRPr="00D9090F">
        <w:fldChar w:fldCharType="end"/>
      </w:r>
      <w:r w:rsidR="00B56953">
        <w:t xml:space="preserve"> and </w:t>
      </w:r>
      <w:r w:rsidRPr="000B70C6">
        <w:t>the Peabody picture vocabulary test</w:t>
      </w:r>
      <w:r w:rsidR="006A2BCD" w:rsidRPr="000B70C6">
        <w:t xml:space="preserve"> </w:t>
      </w:r>
      <w:r w:rsidR="00156D24" w:rsidRPr="00D9090F">
        <w:fldChar w:fldCharType="begin" w:fldLock="1"/>
      </w:r>
      <w:r w:rsidR="002D19B0">
        <w:instrText>ADDIN CSL_CITATION {"citationItems":[{"id":"ITEM-1","itemData":{"author":[{"dropping-particle":"","family":"Dunn","given":"Lloyd M","non-dropping-particle":"","parse-names":false,"suffix":""},{"dropping-particle":"","family":"Dunn","given":"Leota M","non-dropping-particle":"","parse-names":false,"suffix":""}],"id":"ITEM-1","issued":{"date-parts":[["1981"]]},"publisher":"American Guidance Service","title":"Peabody picture vocabulary test, revised: Forms L and M","type":"book"},"uris":["http://www.mendeley.com/documents/?uuid=2cbe5dd5-3cf5-41a1-8467-ecd1c32abc09"]}],"mendeley":{"formattedCitation":"&lt;sup&gt;32&lt;/sup&gt;","plainTextFormattedCitation":"32","previouslyFormattedCitation":"(Dunn and Dunn, 1981)"},"properties":{"noteIndex":0},"schema":"https://github.com/citation-style-language/schema/raw/master/csl-citation.json"}</w:instrText>
      </w:r>
      <w:r w:rsidR="00156D24" w:rsidRPr="00D9090F">
        <w:fldChar w:fldCharType="separate"/>
      </w:r>
      <w:r w:rsidR="002D19B0" w:rsidRPr="002D19B0">
        <w:rPr>
          <w:noProof/>
          <w:vertAlign w:val="superscript"/>
        </w:rPr>
        <w:t>32</w:t>
      </w:r>
      <w:r w:rsidR="00156D24" w:rsidRPr="00D9090F">
        <w:fldChar w:fldCharType="end"/>
      </w:r>
      <w:r w:rsidR="00B56953">
        <w:t>.</w:t>
      </w:r>
    </w:p>
    <w:p w14:paraId="0CA27CE3" w14:textId="77777777" w:rsidR="00206213" w:rsidRPr="000B70C6" w:rsidRDefault="00206213" w:rsidP="54AFCCBD">
      <w:pPr>
        <w:spacing w:line="480" w:lineRule="auto"/>
        <w:rPr>
          <w:rFonts w:ascii="Times New Roman" w:eastAsia="Times New Roman" w:hAnsi="Times New Roman"/>
          <w:color w:val="1C1D1E"/>
        </w:rPr>
      </w:pPr>
    </w:p>
    <w:p w14:paraId="509DD433" w14:textId="77777777" w:rsidR="00044780" w:rsidRPr="000B70C6" w:rsidRDefault="00044780" w:rsidP="2DA2E08D">
      <w:pPr>
        <w:spacing w:line="480" w:lineRule="auto"/>
        <w:rPr>
          <w:rFonts w:ascii="Times New Roman" w:eastAsia="Times New Roman" w:hAnsi="Times New Roman"/>
          <w:i/>
          <w:iCs/>
          <w:color w:val="1C1D1E"/>
        </w:rPr>
      </w:pPr>
      <w:r w:rsidRPr="000B70C6">
        <w:rPr>
          <w:rFonts w:ascii="Times New Roman" w:eastAsia="Times New Roman" w:hAnsi="Times New Roman"/>
          <w:i/>
          <w:iCs/>
          <w:color w:val="1C1D1E"/>
          <w:shd w:val="clear" w:color="auto" w:fill="FFFFFF"/>
        </w:rPr>
        <w:t>Follow-up assessments</w:t>
      </w:r>
    </w:p>
    <w:p w14:paraId="51E28A28" w14:textId="77777777" w:rsidR="00206213" w:rsidRPr="000B70C6" w:rsidRDefault="00206213" w:rsidP="54AFCCBD">
      <w:pPr>
        <w:spacing w:line="480" w:lineRule="auto"/>
        <w:rPr>
          <w:rFonts w:ascii="Times New Roman" w:eastAsia="Times New Roman" w:hAnsi="Times New Roman"/>
          <w:color w:val="1C1D1E"/>
        </w:rPr>
      </w:pPr>
    </w:p>
    <w:p w14:paraId="7ADB145E" w14:textId="77777777" w:rsidR="00044780" w:rsidRPr="000B70C6" w:rsidRDefault="54AFCCBD" w:rsidP="54AFCCBD">
      <w:pPr>
        <w:spacing w:line="480" w:lineRule="auto"/>
        <w:rPr>
          <w:rFonts w:ascii="Times New Roman" w:eastAsia="Times New Roman" w:hAnsi="Times New Roman"/>
        </w:rPr>
      </w:pPr>
      <w:r w:rsidRPr="000B70C6">
        <w:rPr>
          <w:rFonts w:ascii="Times New Roman" w:eastAsia="Times New Roman" w:hAnsi="Times New Roman"/>
        </w:rPr>
        <w:t xml:space="preserve">All participants were informed about the longitudinal nature of the study at baseline, and </w:t>
      </w:r>
      <w:r w:rsidR="00AE1B21" w:rsidRPr="000B70C6">
        <w:rPr>
          <w:rFonts w:ascii="Times New Roman" w:eastAsia="Times New Roman" w:hAnsi="Times New Roman"/>
        </w:rPr>
        <w:t xml:space="preserve">they </w:t>
      </w:r>
      <w:r w:rsidRPr="000B70C6">
        <w:rPr>
          <w:rFonts w:ascii="Times New Roman" w:eastAsia="Times New Roman" w:hAnsi="Times New Roman"/>
        </w:rPr>
        <w:t xml:space="preserve">were </w:t>
      </w:r>
      <w:r w:rsidR="005026F5">
        <w:rPr>
          <w:rFonts w:ascii="Times New Roman" w:eastAsia="Times New Roman" w:hAnsi="Times New Roman"/>
        </w:rPr>
        <w:t>invited</w:t>
      </w:r>
      <w:r w:rsidR="005026F5" w:rsidRPr="000B70C6">
        <w:rPr>
          <w:rFonts w:ascii="Times New Roman" w:eastAsia="Times New Roman" w:hAnsi="Times New Roman"/>
        </w:rPr>
        <w:t xml:space="preserve"> </w:t>
      </w:r>
      <w:r w:rsidRPr="000B70C6">
        <w:rPr>
          <w:rFonts w:ascii="Times New Roman" w:eastAsia="Times New Roman" w:hAnsi="Times New Roman"/>
        </w:rPr>
        <w:t xml:space="preserve">to attend follow-up assessment around 18 months after the baseline assessment (1st follow-up), around 36 months after the baseline assessment (2nd follow-up), and around 54 months after the baseline assessment (3rd follow-up). In the current study, the sample </w:t>
      </w:r>
      <w:r w:rsidR="00AE1B21" w:rsidRPr="000B70C6">
        <w:rPr>
          <w:rFonts w:ascii="Times New Roman" w:eastAsia="Times New Roman" w:hAnsi="Times New Roman"/>
        </w:rPr>
        <w:t>comprises</w:t>
      </w:r>
      <w:r w:rsidRPr="000B70C6">
        <w:rPr>
          <w:rFonts w:ascii="Times New Roman" w:eastAsia="Times New Roman" w:hAnsi="Times New Roman"/>
        </w:rPr>
        <w:t xml:space="preserve"> </w:t>
      </w:r>
      <w:r w:rsidR="00614EA8" w:rsidRPr="000B70C6">
        <w:rPr>
          <w:rFonts w:ascii="Times New Roman" w:eastAsia="Times New Roman" w:hAnsi="Times New Roman"/>
        </w:rPr>
        <w:t xml:space="preserve">those </w:t>
      </w:r>
      <w:r w:rsidRPr="000B70C6">
        <w:rPr>
          <w:rFonts w:ascii="Times New Roman" w:eastAsia="Times New Roman" w:hAnsi="Times New Roman"/>
        </w:rPr>
        <w:t xml:space="preserve">131 participants who completed the 3rd follow-up assessment about five years after the baseline assessment without conversion to dementia (mean = 58.78 months from the baseline assessment; S.D. = 8.22), and 38 participants who converted to dementia during this period (mean = 41.79 months from the baseline assessment; S.D. = 24.35). Diagnosis of probable AD or other types of dementia was </w:t>
      </w:r>
      <w:r w:rsidR="005B7277">
        <w:rPr>
          <w:rFonts w:ascii="Times New Roman" w:eastAsia="Times New Roman" w:hAnsi="Times New Roman"/>
        </w:rPr>
        <w:t xml:space="preserve">made </w:t>
      </w:r>
      <w:r w:rsidRPr="000B70C6">
        <w:rPr>
          <w:rFonts w:ascii="Times New Roman" w:eastAsia="Times New Roman" w:hAnsi="Times New Roman"/>
        </w:rPr>
        <w:t xml:space="preserve">according to </w:t>
      </w:r>
      <w:r w:rsidR="001B43B8">
        <w:rPr>
          <w:rFonts w:ascii="Times New Roman" w:eastAsia="Times New Roman" w:hAnsi="Times New Roman"/>
        </w:rPr>
        <w:t xml:space="preserve">the </w:t>
      </w:r>
      <w:r w:rsidR="001B43B8" w:rsidRPr="00C95CF8">
        <w:rPr>
          <w:rFonts w:ascii="Times New Roman" w:eastAsia="Times New Roman" w:hAnsi="Times New Roman"/>
        </w:rPr>
        <w:t>criteria</w:t>
      </w:r>
      <w:r w:rsidR="001B43B8" w:rsidRPr="000B70C6">
        <w:rPr>
          <w:rFonts w:ascii="Times New Roman" w:eastAsia="Times New Roman" w:hAnsi="Times New Roman"/>
        </w:rPr>
        <w:t xml:space="preserve"> </w:t>
      </w:r>
      <w:r w:rsidR="001B43B8">
        <w:rPr>
          <w:rFonts w:ascii="Times New Roman" w:eastAsia="Times New Roman" w:hAnsi="Times New Roman"/>
        </w:rPr>
        <w:t xml:space="preserve">used by </w:t>
      </w:r>
      <w:r w:rsidRPr="000B70C6">
        <w:rPr>
          <w:rFonts w:ascii="Times New Roman" w:eastAsia="Times New Roman" w:hAnsi="Times New Roman"/>
        </w:rPr>
        <w:t>National Institute of Neurologic, Communicative Disorders and Stroke - Alzheimer's Disease and Related Disorders Association (NINCDS-ADRDA) and DMS-IV-TR</w:t>
      </w:r>
      <w:r w:rsidR="001B43B8">
        <w:rPr>
          <w:rFonts w:ascii="Times New Roman" w:eastAsia="Times New Roman" w:hAnsi="Times New Roman"/>
        </w:rPr>
        <w:t xml:space="preserve"> criteria</w:t>
      </w:r>
      <w:r w:rsidRPr="000B70C6">
        <w:rPr>
          <w:rFonts w:ascii="Times New Roman" w:eastAsia="Times New Roman" w:hAnsi="Times New Roman"/>
        </w:rPr>
        <w:t xml:space="preserve">. </w:t>
      </w:r>
      <w:r w:rsidR="005026F5">
        <w:rPr>
          <w:rFonts w:ascii="Times New Roman" w:eastAsia="Times New Roman" w:hAnsi="Times New Roman"/>
        </w:rPr>
        <w:t>Conversion</w:t>
      </w:r>
      <w:r w:rsidR="005026F5" w:rsidRPr="000B70C6">
        <w:rPr>
          <w:rFonts w:ascii="Times New Roman" w:eastAsia="Times New Roman" w:hAnsi="Times New Roman"/>
        </w:rPr>
        <w:t xml:space="preserve"> </w:t>
      </w:r>
      <w:r w:rsidRPr="000B70C6">
        <w:rPr>
          <w:rFonts w:ascii="Times New Roman" w:eastAsia="Times New Roman" w:hAnsi="Times New Roman"/>
        </w:rPr>
        <w:t xml:space="preserve">to dementia </w:t>
      </w:r>
      <w:r w:rsidR="00AE1B21" w:rsidRPr="000B70C6">
        <w:rPr>
          <w:rFonts w:ascii="Times New Roman" w:eastAsia="Times New Roman" w:hAnsi="Times New Roman"/>
        </w:rPr>
        <w:t>was</w:t>
      </w:r>
      <w:r w:rsidRPr="000B70C6">
        <w:rPr>
          <w:rFonts w:ascii="Times New Roman" w:eastAsia="Times New Roman" w:hAnsi="Times New Roman"/>
        </w:rPr>
        <w:t xml:space="preserve"> confirmed by </w:t>
      </w:r>
      <w:r w:rsidR="00AE1B21" w:rsidRPr="000B70C6">
        <w:rPr>
          <w:rFonts w:ascii="Times New Roman" w:eastAsia="Times New Roman" w:hAnsi="Times New Roman"/>
        </w:rPr>
        <w:t xml:space="preserve">consultation of </w:t>
      </w:r>
      <w:r w:rsidRPr="000B70C6">
        <w:rPr>
          <w:rFonts w:ascii="Times New Roman" w:eastAsia="Times New Roman" w:hAnsi="Times New Roman"/>
        </w:rPr>
        <w:t>the medical history and considering the date of neurological diagnosis.</w:t>
      </w:r>
    </w:p>
    <w:p w14:paraId="41A9534F" w14:textId="77777777" w:rsidR="00044780" w:rsidRPr="000B70C6" w:rsidRDefault="00044780" w:rsidP="54AFCCBD">
      <w:pPr>
        <w:spacing w:line="480" w:lineRule="auto"/>
        <w:rPr>
          <w:rFonts w:ascii="Times New Roman" w:eastAsia="Times New Roman" w:hAnsi="Times New Roman"/>
          <w:i/>
          <w:iCs/>
          <w:color w:val="1C1D1E"/>
        </w:rPr>
      </w:pPr>
    </w:p>
    <w:p w14:paraId="17EDCC9A" w14:textId="77777777" w:rsidR="00044780" w:rsidRPr="000B70C6" w:rsidRDefault="00CC78C2" w:rsidP="2DA2E08D">
      <w:pPr>
        <w:spacing w:line="480" w:lineRule="auto"/>
        <w:rPr>
          <w:rFonts w:ascii="Times New Roman" w:eastAsia="Times New Roman" w:hAnsi="Times New Roman"/>
          <w:i/>
          <w:iCs/>
          <w:color w:val="1C1D1E"/>
        </w:rPr>
      </w:pPr>
      <w:r w:rsidRPr="005B7277">
        <w:rPr>
          <w:rFonts w:ascii="Times New Roman" w:eastAsia="Times New Roman" w:hAnsi="Times New Roman"/>
          <w:i/>
          <w:iCs/>
          <w:color w:val="1C1D1E"/>
          <w:shd w:val="clear" w:color="auto" w:fill="FFFFFF"/>
        </w:rPr>
        <w:t>Data</w:t>
      </w:r>
      <w:r w:rsidR="00044780" w:rsidRPr="005B7277">
        <w:rPr>
          <w:rFonts w:ascii="Times New Roman" w:eastAsia="Times New Roman" w:hAnsi="Times New Roman"/>
          <w:i/>
          <w:iCs/>
          <w:color w:val="1C1D1E"/>
          <w:shd w:val="clear" w:color="auto" w:fill="FFFFFF"/>
        </w:rPr>
        <w:t xml:space="preserve"> analysis</w:t>
      </w:r>
    </w:p>
    <w:p w14:paraId="18CEEDB0" w14:textId="77777777" w:rsidR="6B662C62" w:rsidRPr="000B70C6" w:rsidRDefault="6B662C62" w:rsidP="54AFCCBD">
      <w:pPr>
        <w:spacing w:line="360" w:lineRule="auto"/>
        <w:rPr>
          <w:rFonts w:ascii="Times New Roman" w:eastAsia="Times New Roman" w:hAnsi="Times New Roman"/>
          <w:color w:val="1C1D1E"/>
          <w:u w:val="single"/>
        </w:rPr>
      </w:pPr>
    </w:p>
    <w:p w14:paraId="55814630" w14:textId="4F590107" w:rsidR="6B662C62" w:rsidRPr="000B70C6" w:rsidRDefault="00156D24" w:rsidP="54AFCCBD">
      <w:pPr>
        <w:pStyle w:val="Newparagraph"/>
      </w:pPr>
      <w:r w:rsidRPr="00D9090F">
        <w:t>Mann-Whitney U and Pearson’s chi-squared tests were run in SPSS for descriptive analysis and group comparisons</w:t>
      </w:r>
      <w:r w:rsidR="00A55E56" w:rsidRPr="000B70C6" w:rsidDel="00A55E56">
        <w:t xml:space="preserve"> </w:t>
      </w:r>
      <w:r w:rsidRPr="00D9090F">
        <w:fldChar w:fldCharType="begin" w:fldLock="1"/>
      </w:r>
      <w:r w:rsidR="002D19B0">
        <w:instrText>ADDIN CSL_CITATION {"citationItems":[{"id":"ITEM-1","itemData":{"author":[{"dropping-particle":"","family":"Sanchez-Villegas","given":"Almudena","non-dropping-particle":"","parse-names":false,"suffix":""},{"dropping-particle":"","family":"Schlatter","given":"Javier","non-dropping-particle":"","parse-names":false,"suffix":""},{"dropping-particle":"","family":"Ortuno","given":"Felipe","non-dropping-particle":"","parse-names":false,"suffix":""},{"dropping-particle":"","family":"Lahortiga","given":"Francisca","non-dropping-particle":"","parse-names":false,"suffix":""},{"dropping-particle":"","family":"Pla","given":"Jorge","non-dropping-particle":"","parse-names":false,"suffix":""},{"dropping-particle":"","family":"Benito","given":"Silvia","non-dropping-particle":"","parse-names":false,"suffix":""},{"dropping-particle":"","family":"Martinez-Gonzalez","given":"Miguel A","non-dropping-particle":"","parse-names":false,"suffix":""}],"container-title":"BMC psychiatry","id":"ITEM-1","issue":"1","issued":{"date-parts":[["2008"]]},"page":"43","publisher":"BioMed Central","title":"Validity of a self-reported diagnosis of depression among participants in a cohort study using the Structured Clinical Interview for DSM-IV (SCID-I)","type":"article-journal","volume":"8"},"uris":["http://www.mendeley.com/documents/?uuid=63f75110-f734-4c39-a58b-3637119c9604"]}],"mendeley":{"formattedCitation":"&lt;sup&gt;33&lt;/sup&gt;","plainTextFormattedCitation":"33","previouslyFormattedCitation":"(Sanchez-Villegas et al., 2008)"},"properties":{"noteIndex":0},"schema":"https://github.com/citation-style-language/schema/raw/master/csl-citation.json"}</w:instrText>
      </w:r>
      <w:r w:rsidRPr="00D9090F">
        <w:fldChar w:fldCharType="separate"/>
      </w:r>
      <w:r w:rsidR="002D19B0" w:rsidRPr="002D19B0">
        <w:rPr>
          <w:noProof/>
          <w:vertAlign w:val="superscript"/>
        </w:rPr>
        <w:t>33</w:t>
      </w:r>
      <w:r w:rsidRPr="00D9090F">
        <w:fldChar w:fldCharType="end"/>
      </w:r>
      <w:r w:rsidR="00F750FF" w:rsidRPr="000B70C6">
        <w:t xml:space="preserve">. </w:t>
      </w:r>
      <w:r w:rsidRPr="00D9090F">
        <w:t xml:space="preserve">Supervised ML techniques were also </w:t>
      </w:r>
      <w:r w:rsidR="00B95D89">
        <w:t>us</w:t>
      </w:r>
      <w:r w:rsidRPr="00D9090F">
        <w:t xml:space="preserve">ed to test </w:t>
      </w:r>
      <w:r w:rsidR="005B7277">
        <w:t xml:space="preserve">the </w:t>
      </w:r>
      <w:r w:rsidRPr="00D9090F">
        <w:t xml:space="preserve">value of CR proxies </w:t>
      </w:r>
      <w:r w:rsidR="00B95D89">
        <w:t>for predicting</w:t>
      </w:r>
      <w:r w:rsidRPr="00D9090F">
        <w:t xml:space="preserve"> conversion to dementia, with the dichotomous variable converter – non converter as </w:t>
      </w:r>
      <w:r w:rsidR="005B7277">
        <w:t xml:space="preserve">the </w:t>
      </w:r>
      <w:r w:rsidRPr="00D9090F">
        <w:t>target variable</w:t>
      </w:r>
      <w:r w:rsidR="54AFCCBD" w:rsidRPr="000B70C6">
        <w:t xml:space="preserve">. For </w:t>
      </w:r>
      <w:r w:rsidR="00AE1B21" w:rsidRPr="000B70C6">
        <w:t xml:space="preserve">this </w:t>
      </w:r>
      <w:r w:rsidR="54AFCCBD" w:rsidRPr="000B70C6">
        <w:t>purpose, we start</w:t>
      </w:r>
      <w:r w:rsidR="00AE1B21" w:rsidRPr="000B70C6">
        <w:t>ed</w:t>
      </w:r>
      <w:r w:rsidR="54AFCCBD" w:rsidRPr="000B70C6">
        <w:t xml:space="preserve"> with a data set consisting of 169 instances of the total number of participants and 14 input variables or features (including diagnosis at baseline assessment, months from the </w:t>
      </w:r>
      <w:r w:rsidR="00134D0E" w:rsidRPr="000B70C6">
        <w:t xml:space="preserve">baseline </w:t>
      </w:r>
      <w:r w:rsidR="54AFCCBD" w:rsidRPr="000B70C6">
        <w:t xml:space="preserve">assessment until the </w:t>
      </w:r>
      <w:r w:rsidR="00134D0E" w:rsidRPr="000B70C6">
        <w:t>3rd</w:t>
      </w:r>
      <w:r w:rsidR="54AFCCBD" w:rsidRPr="000B70C6">
        <w:t xml:space="preserve"> </w:t>
      </w:r>
      <w:r w:rsidR="00134D0E" w:rsidRPr="000B70C6">
        <w:t xml:space="preserve">follow-up </w:t>
      </w:r>
      <w:r w:rsidR="54AFCCBD" w:rsidRPr="000B70C6">
        <w:t>assessment or until conversion to dementia, gender, age, occupational status, Charlson comorbidity index, history of memory disorders, years of formal schooling, occupational attainment, reading habits, social activi</w:t>
      </w:r>
      <w:r w:rsidR="00134D0E" w:rsidRPr="000B70C6">
        <w:t>ti</w:t>
      </w:r>
      <w:r w:rsidR="54AFCCBD" w:rsidRPr="000B70C6">
        <w:t xml:space="preserve">es, cultural activities and Peabody test and WAIS vocabulary subtest scores), </w:t>
      </w:r>
      <w:r w:rsidR="00AE1B21" w:rsidRPr="000B70C6">
        <w:t>which enabled</w:t>
      </w:r>
      <w:r w:rsidR="54AFCCBD" w:rsidRPr="000B70C6">
        <w:t xml:space="preserve"> us to predict the target variable. </w:t>
      </w:r>
      <w:r w:rsidR="00AA0CF7">
        <w:t>T</w:t>
      </w:r>
      <w:r w:rsidR="54AFCCBD" w:rsidRPr="000B70C6">
        <w:t xml:space="preserve">he data </w:t>
      </w:r>
      <w:r w:rsidR="00AE1B21" w:rsidRPr="000B70C6">
        <w:t>were analysed</w:t>
      </w:r>
      <w:r w:rsidR="54AFCCBD" w:rsidRPr="000B70C6">
        <w:t xml:space="preserve"> </w:t>
      </w:r>
      <w:r w:rsidR="00AE1B21" w:rsidRPr="000B70C6">
        <w:t>using</w:t>
      </w:r>
      <w:r w:rsidR="54AFCCBD" w:rsidRPr="000B70C6">
        <w:t xml:space="preserve"> the Scikit-Learn</w:t>
      </w:r>
      <w:r w:rsidR="00FC1AF1" w:rsidRPr="000B70C6">
        <w:t xml:space="preserve"> </w:t>
      </w:r>
      <w:r w:rsidRPr="00D9090F">
        <w:fldChar w:fldCharType="begin" w:fldLock="1"/>
      </w:r>
      <w:r w:rsidR="002D19B0">
        <w:instrText>ADDIN CSL_CITATION {"citationItems":[{"id":"ITEM-1","itemData":{"author":[{"dropping-particle":"","family":"Pedregosa","given":"Fabian","non-dropping-particle":"","parse-names":false,"suffix":""},{"dropping-particle":"","family":"Varoquaux","given":"Gaël","non-dropping-particle":"","parse-names":false,"suffix":""},{"dropping-particle":"","family":"Gramfort","given":"Alexandre","non-dropping-particle":"","parse-names":false,"suffix":""},{"dropping-particle":"","family":"Michel","given":"Vincent","non-dropping-particle":"","parse-names":false,"suffix":""},{"dropping-particle":"","family":"Thirion","given":"Bertrand","non-dropping-particle":"","parse-names":false,"suffix":""},{"dropping-particle":"","family":"Grisel","given":"Olivier","non-dropping-particle":"","parse-names":false,"suffix":""},{"dropping-particle":"","family":"Blondel","given":"Mathieu","non-dropping-particle":"","parse-names":false,"suffix":""},{"dropping-particle":"","family":"Prettenhofer","given":"Peter","non-dropping-particle":"","parse-names":false,"suffix":""},{"dropping-particle":"","family":"Weiss","given":"Ron","non-dropping-particle":"","parse-names":false,"suffix":""},{"dropping-particle":"","family":"Dubourg","given":"Vincent","non-dropping-particle":"","parse-names":false,"suffix":""},{"dropping-particle":"","family":"others","given":"","non-dropping-particle":"","parse-names":false,"suffix":""}],"container-title":"Journal of machine learning research","id":"ITEM-1","issue":"Oct","issued":{"date-parts":[["2011"]]},"page":"2825-2830","title":"Scikit-learn: Machine learning in Python","type":"article-journal","volume":"12"},"uris":["http://www.mendeley.com/documents/?uuid=77b5d423-4e31-4927-8407-4f9e5f970736"]}],"mendeley":{"formattedCitation":"&lt;sup&gt;34&lt;/sup&gt;","plainTextFormattedCitation":"34","previouslyFormattedCitation":"(Pedregosa et al., 2011)"},"properties":{"noteIndex":0},"schema":"https://github.com/citation-style-language/schema/raw/master/csl-citation.json"}</w:instrText>
      </w:r>
      <w:r w:rsidRPr="00D9090F">
        <w:fldChar w:fldCharType="separate"/>
      </w:r>
      <w:r w:rsidR="002D19B0" w:rsidRPr="002D19B0">
        <w:rPr>
          <w:noProof/>
          <w:vertAlign w:val="superscript"/>
        </w:rPr>
        <w:t>34</w:t>
      </w:r>
      <w:r w:rsidRPr="00D9090F">
        <w:fldChar w:fldCharType="end"/>
      </w:r>
      <w:r w:rsidR="54AFCCBD" w:rsidRPr="000B70C6">
        <w:t xml:space="preserve"> </w:t>
      </w:r>
      <w:r w:rsidR="00A55E56" w:rsidRPr="000B70C6">
        <w:t>ML</w:t>
      </w:r>
      <w:r w:rsidR="54AFCCBD" w:rsidRPr="000B70C6">
        <w:t xml:space="preserve"> library</w:t>
      </w:r>
      <w:r w:rsidR="005B7277">
        <w:t>,</w:t>
      </w:r>
      <w:r w:rsidR="54AFCCBD" w:rsidRPr="000B70C6">
        <w:t xml:space="preserve"> </w:t>
      </w:r>
      <w:r w:rsidRPr="00AA0CF7">
        <w:t>written in</w:t>
      </w:r>
      <w:r w:rsidR="54AFCCBD" w:rsidRPr="005B7277">
        <w:t xml:space="preserve"> Python </w:t>
      </w:r>
      <w:r w:rsidRPr="00AA0CF7">
        <w:t xml:space="preserve">programming </w:t>
      </w:r>
      <w:r w:rsidR="005B7277" w:rsidRPr="005B7277">
        <w:t>language</w:t>
      </w:r>
      <w:r w:rsidR="54AFCCBD" w:rsidRPr="005B7277">
        <w:t>.</w:t>
      </w:r>
    </w:p>
    <w:p w14:paraId="5B6E83B1" w14:textId="77777777" w:rsidR="00C91C71" w:rsidRPr="000B70C6" w:rsidRDefault="00C91C71" w:rsidP="54AFCCBD">
      <w:pPr>
        <w:spacing w:line="360" w:lineRule="auto"/>
        <w:rPr>
          <w:rFonts w:ascii="Times New Roman" w:eastAsia="Times New Roman" w:hAnsi="Times New Roman"/>
          <w:color w:val="1C1D1E"/>
          <w:u w:val="single"/>
        </w:rPr>
      </w:pPr>
    </w:p>
    <w:p w14:paraId="39BEF87D" w14:textId="223CBA6E" w:rsidR="6B662C62" w:rsidRPr="000B70C6" w:rsidRDefault="00AE1B21" w:rsidP="54AFCCBD">
      <w:pPr>
        <w:pStyle w:val="Newparagraph"/>
      </w:pPr>
      <w:r w:rsidRPr="000B70C6">
        <w:t xml:space="preserve">The </w:t>
      </w:r>
      <w:r w:rsidR="004E4699" w:rsidRPr="000B70C6">
        <w:t>ML</w:t>
      </w:r>
      <w:r w:rsidR="54AFCCBD" w:rsidRPr="000B70C6">
        <w:t xml:space="preserve"> algorithms </w:t>
      </w:r>
      <w:r w:rsidRPr="000B70C6">
        <w:t xml:space="preserve">selected for </w:t>
      </w:r>
      <w:r w:rsidR="54AFCCBD" w:rsidRPr="000B70C6">
        <w:t>train</w:t>
      </w:r>
      <w:r w:rsidRPr="000B70C6">
        <w:t>ing</w:t>
      </w:r>
      <w:r w:rsidR="54AFCCBD" w:rsidRPr="000B70C6">
        <w:t xml:space="preserve"> </w:t>
      </w:r>
      <w:r w:rsidRPr="000B70C6">
        <w:t xml:space="preserve">the </w:t>
      </w:r>
      <w:r w:rsidR="54AFCCBD" w:rsidRPr="000B70C6">
        <w:t xml:space="preserve">system </w:t>
      </w:r>
      <w:r w:rsidRPr="000B70C6">
        <w:t xml:space="preserve">are </w:t>
      </w:r>
      <w:r w:rsidR="00B02B8A" w:rsidRPr="000B70C6">
        <w:t xml:space="preserve">all </w:t>
      </w:r>
      <w:r w:rsidR="54AFCCBD" w:rsidRPr="000B70C6">
        <w:t>widely used in medical research</w:t>
      </w:r>
      <w:r w:rsidR="00107EC8" w:rsidRPr="000B70C6">
        <w:t xml:space="preserve"> </w:t>
      </w:r>
      <w:r w:rsidR="00156D24" w:rsidRPr="00D9090F">
        <w:fldChar w:fldCharType="begin" w:fldLock="1"/>
      </w:r>
      <w:r w:rsidR="002D19B0">
        <w:instrText>ADDIN CSL_CITATION {"citationItems":[{"id":"ITEM-1","itemData":{"author":[{"dropping-particle":"","family":"Maroco","given":"João","non-dropping-particle":"","parse-names":false,"suffix":""},{"dropping-particle":"","family":"Silva","given":"Dina","non-dropping-particle":"","parse-names":false,"suffix":""},{"dropping-particle":"","family":"Rodrigues","given":"Ana","non-dropping-particle":"","parse-names":false,"suffix":""},{"dropping-particle":"","family":"Guerreiro","given":"Manuela","non-dropping-particle":"","parse-names":false,"suffix":""},{"dropping-particle":"","family":"Santana","given":"Isabel","non-dropping-particle":"","parse-names":false,"suffix":""},{"dropping-particle":"","family":"Mendonça","given":"Alexandre","non-dropping-particle":"de","parse-names":false,"suffix":""}],"container-title":"BMC research notes","id":"ITEM-1","issue":"1","issued":{"date-parts":[["2011"]]},"page":"299","publisher":"BioMed Central Ltd","title":"Data mining methods in the prediction of Dementia: A real-data comparison of the accuracy, sensitivity and specificity of linear discriminant analysis, logistic regression, neural networks, support vector machines, classification trees and random forests","type":"article-journal","volume":"4"},"uris":["http://www.mendeley.com/documents/?uuid=44b50a5a-c890-4350-80e5-67eb212a24a2"]},{"id":"ITEM-2","itemData":{"author":[{"dropping-particle":"","family":"Lehmann","given":"Christoph","non-dropping-particle":"","parse-names":false,"suffix":""},{"dropping-particle":"","family":"Koenig","given":"Thomas","non-dropping-particle":"","parse-names":false,"suffix":""},{"dropping-particle":"","family":"Jelic","given":"Vesna","non-dropping-particle":"","parse-names":false,"suffix":""},{"dropping-particle":"","family":"Prichep","given":"Leslie","non-dropping-particle":"","parse-names":false,"suffix":""},{"dropping-particle":"","family":"John","given":"Roy E","non-dropping-particle":"","parse-names":false,"suffix":""},{"dropping-particle":"","family":"Wahlund","given":"Lars-Olof","non-dropping-particle":"","parse-names":false,"suffix":""},{"dropping-particle":"","family":"Dodge","given":"Yadolah","non-dropping-particle":"","parse-names":false,"suffix":""},{"dropping-particle":"","family":"Dierks","given":"Thomas","non-dropping-particle":"","parse-names":false,"suffix":""}],"container-title":"Journal of neuroscience methods","id":"ITEM-2","issue":"2","issued":{"date-parts":[["2007"]]},"page":"342-350","publisher":"Elsevier","title":"Application and comparison of classification algorithms for recognition of Alzheimer's disease in electrical brain activity (EEG)","type":"article-journal","volume":"161"},"uris":["http://www.mendeley.com/documents/?uuid=66260418-f2d8-4468-aec3-bf8ad105aa8d"]},{"id":"ITEM-3","itemData":{"author":[{"dropping-particle":"","family":"Tripoliti","given":"Evanthia E","non-dropping-particle":"","parse-names":false,"suffix":""},{"dropping-particle":"","family":"Fotiadis","given":"Dimitrios I","non-dropping-particle":"","parse-names":false,"suffix":""},{"dropping-particle":"","family":"Argyropoulou","given":"Maria","non-dropping-particle":"","parse-names":false,"suffix":""},{"dropping-particle":"","family":"Manis","given":"George","non-dropping-particle":"","parse-names":false,"suffix":""}],"container-title":"Journal of biomedical informatics","id":"ITEM-3","issue":"2","issued":{"date-parts":[["2010"]]},"page":"307-320","publisher":"Elsevier","title":"A six stage approach for the diagnosis of the Alzheimer’s disease based on fMRI data","type":"article-journal","volume":"43"},"uris":["http://www.mendeley.com/documents/?uuid=9c494050-5158-4542-b9c6-9f7a09b1414e"]}],"mendeley":{"formattedCitation":"&lt;sup&gt;20,21,35&lt;/sup&gt;","manualFormatting":"(Lehmann et al., 2007; Maroco et al., 2011; Tripoliti et al., 2010)","plainTextFormattedCitation":"20,21,35","previouslyFormattedCitation":"(Maroco et al., 2011; Lehmann et al., 2007b; Tripoliti et al., 2010)"},"properties":{"noteIndex":0},"schema":"https://github.com/citation-style-language/schema/raw/master/csl-citation.json"}</w:instrText>
      </w:r>
      <w:r w:rsidR="00156D24" w:rsidRPr="00D9090F">
        <w:fldChar w:fldCharType="separate"/>
      </w:r>
      <w:r w:rsidR="00156D24" w:rsidRPr="00D9090F">
        <w:rPr>
          <w:noProof/>
        </w:rPr>
        <w:t>(Lehmann et al., 2007; Maroco et al., 2011; Tripoliti et al., 2010)</w:t>
      </w:r>
      <w:r w:rsidR="00156D24" w:rsidRPr="00D9090F">
        <w:fldChar w:fldCharType="end"/>
      </w:r>
      <w:r w:rsidR="54AFCCBD" w:rsidRPr="000B70C6">
        <w:t>: (a) Logistic Regression</w:t>
      </w:r>
      <w:r w:rsidR="00B02B8A" w:rsidRPr="000B70C6">
        <w:t xml:space="preserve"> (LR) is </w:t>
      </w:r>
      <w:r w:rsidR="54AFCCBD" w:rsidRPr="000B70C6">
        <w:t>based on a multinomial logistic regression model with a ridge estimator; (b) Support Vector Machine</w:t>
      </w:r>
      <w:r w:rsidR="00284370">
        <w:t>s</w:t>
      </w:r>
      <w:r w:rsidR="54AFCCBD" w:rsidRPr="000B70C6">
        <w:t xml:space="preserve"> </w:t>
      </w:r>
      <w:r w:rsidR="00B02B8A" w:rsidRPr="000B70C6">
        <w:t>(SVM</w:t>
      </w:r>
      <w:r w:rsidR="00284370">
        <w:t>s</w:t>
      </w:r>
      <w:r w:rsidR="00B02B8A" w:rsidRPr="000B70C6">
        <w:t xml:space="preserve">) </w:t>
      </w:r>
      <w:r w:rsidR="54AFCCBD" w:rsidRPr="000B70C6">
        <w:t xml:space="preserve">construct a hyper-plane or set of hyper-planes in a high or infinite dimensional space used for classification; (c) </w:t>
      </w:r>
      <w:r w:rsidR="00284370">
        <w:t xml:space="preserve">the </w:t>
      </w:r>
      <w:r w:rsidR="54AFCCBD" w:rsidRPr="000B70C6">
        <w:t xml:space="preserve">Nearest Neighbours </w:t>
      </w:r>
      <w:r w:rsidR="00284370">
        <w:t xml:space="preserve">method </w:t>
      </w:r>
      <w:r w:rsidR="00B02B8A" w:rsidRPr="000B70C6">
        <w:t xml:space="preserve">assigns </w:t>
      </w:r>
      <w:r w:rsidR="54AFCCBD" w:rsidRPr="000B70C6">
        <w:t xml:space="preserve">unclassified sample data </w:t>
      </w:r>
      <w:r w:rsidR="00B02B8A" w:rsidRPr="000B70C6">
        <w:t>to</w:t>
      </w:r>
      <w:r w:rsidR="54AFCCBD" w:rsidRPr="000B70C6">
        <w:t xml:space="preserve"> the nearest of a set of previously classified data; (d) Gaussian Na</w:t>
      </w:r>
      <w:r w:rsidR="006D61FF" w:rsidRPr="000B70C6">
        <w:t>i</w:t>
      </w:r>
      <w:r w:rsidR="54AFCCBD" w:rsidRPr="000B70C6">
        <w:t>v</w:t>
      </w:r>
      <w:r w:rsidR="006D61FF" w:rsidRPr="000B70C6">
        <w:t>e</w:t>
      </w:r>
      <w:r w:rsidR="54AFCCBD" w:rsidRPr="000B70C6">
        <w:t xml:space="preserve"> Bayes</w:t>
      </w:r>
      <w:r w:rsidR="00B02B8A" w:rsidRPr="000B70C6">
        <w:t xml:space="preserve"> is </w:t>
      </w:r>
      <w:r w:rsidR="54AFCCBD" w:rsidRPr="000B70C6">
        <w:t xml:space="preserve">based on classification mechanisms that use Gaussian processes; (e) </w:t>
      </w:r>
      <w:r w:rsidR="00284370">
        <w:t>E</w:t>
      </w:r>
      <w:r w:rsidR="54AFCCBD" w:rsidRPr="000B70C6">
        <w:t>nsemble methods combine</w:t>
      </w:r>
      <w:r w:rsidR="00284370">
        <w:t>d</w:t>
      </w:r>
      <w:r w:rsidR="54AFCCBD" w:rsidRPr="000B70C6">
        <w:t xml:space="preserve"> the predictions of several base estimators built by averaging or boosting methods, including </w:t>
      </w:r>
      <w:r w:rsidR="00284370">
        <w:t xml:space="preserve">the </w:t>
      </w:r>
      <w:r w:rsidR="54AFCCBD" w:rsidRPr="000B70C6">
        <w:t>Random Forest, Extra Trees, Gradient Boosting and Gradient Boosting Classifier</w:t>
      </w:r>
      <w:r w:rsidR="00284370">
        <w:t>s</w:t>
      </w:r>
      <w:r w:rsidR="54AFCCBD" w:rsidRPr="000B70C6">
        <w:t>; and finally, (f) Artificial Neural Network</w:t>
      </w:r>
      <w:r w:rsidR="00B02B8A" w:rsidRPr="000B70C6">
        <w:t xml:space="preserve"> </w:t>
      </w:r>
      <w:r w:rsidR="54AFCCBD" w:rsidRPr="000B70C6">
        <w:t xml:space="preserve">implements a multi-layer perceptron (MLP) algorithm that classifies </w:t>
      </w:r>
      <w:r w:rsidR="00B02B8A" w:rsidRPr="000B70C6">
        <w:t xml:space="preserve">by </w:t>
      </w:r>
      <w:r w:rsidR="54AFCCBD" w:rsidRPr="000B70C6">
        <w:t>using</w:t>
      </w:r>
      <w:r w:rsidR="00B02B8A" w:rsidRPr="000B70C6">
        <w:t xml:space="preserve"> the</w:t>
      </w:r>
      <w:r w:rsidR="54AFCCBD" w:rsidRPr="000B70C6">
        <w:t xml:space="preserve"> Cross-Entropy loss function. Finally, </w:t>
      </w:r>
      <w:r w:rsidR="00284370" w:rsidRPr="000B70C6">
        <w:t>we use</w:t>
      </w:r>
      <w:r w:rsidR="00284370">
        <w:t>d</w:t>
      </w:r>
      <w:r w:rsidR="00284370" w:rsidRPr="000B70C6">
        <w:t xml:space="preserve"> k-fold cross validation (k=10)</w:t>
      </w:r>
      <w:r w:rsidR="00284370">
        <w:t xml:space="preserve"> </w:t>
      </w:r>
      <w:r w:rsidR="54AFCCBD" w:rsidRPr="000B70C6">
        <w:t>to test and evaluate the aforementioned algorithms</w:t>
      </w:r>
      <w:r w:rsidR="00B02B8A" w:rsidRPr="000B70C6">
        <w:t xml:space="preserve">. </w:t>
      </w:r>
      <w:r w:rsidR="54AFCCBD" w:rsidRPr="000B70C6">
        <w:t xml:space="preserve">In this process the data set is divided into k subsets. </w:t>
      </w:r>
      <w:r w:rsidR="009E6B20">
        <w:t>Fo</w:t>
      </w:r>
      <w:r w:rsidR="00B02B8A" w:rsidRPr="000B70C6">
        <w:t>r</w:t>
      </w:r>
      <w:r w:rsidR="009E6B20">
        <w:t xml:space="preserve"> </w:t>
      </w:r>
      <w:r w:rsidR="00B02B8A" w:rsidRPr="000B70C6">
        <w:t>each analysis</w:t>
      </w:r>
      <w:r w:rsidR="54AFCCBD" w:rsidRPr="000B70C6">
        <w:t xml:space="preserve">, one of the k subsets is used as the test set and the other k-1 subsets form the training set. Performance statistics are calculated across all k trials. This is an </w:t>
      </w:r>
      <w:r w:rsidR="009E6B20">
        <w:t>effective means</w:t>
      </w:r>
      <w:r w:rsidR="009E6B20" w:rsidRPr="000B70C6">
        <w:t xml:space="preserve"> </w:t>
      </w:r>
      <w:r w:rsidR="00B02B8A" w:rsidRPr="000B70C6">
        <w:t xml:space="preserve">of </w:t>
      </w:r>
      <w:r w:rsidR="54AFCCBD" w:rsidRPr="000B70C6">
        <w:t>prevent</w:t>
      </w:r>
      <w:r w:rsidR="00B02B8A" w:rsidRPr="000B70C6">
        <w:t>ing</w:t>
      </w:r>
      <w:r w:rsidR="54AFCCBD" w:rsidRPr="000B70C6">
        <w:t xml:space="preserve"> over-fitting, and </w:t>
      </w:r>
      <w:r w:rsidR="00B02B8A" w:rsidRPr="000B70C6">
        <w:t xml:space="preserve">it </w:t>
      </w:r>
      <w:r w:rsidR="54AFCCBD" w:rsidRPr="000B70C6">
        <w:t xml:space="preserve">also provides a good indication of how well the classifier will perform </w:t>
      </w:r>
      <w:r w:rsidR="00B02B8A" w:rsidRPr="000B70C6">
        <w:t xml:space="preserve">with </w:t>
      </w:r>
      <w:r w:rsidR="54AFCCBD" w:rsidRPr="000B70C6">
        <w:t>unseen data</w:t>
      </w:r>
      <w:r w:rsidRPr="000B70C6">
        <w:t xml:space="preserve"> (for more information, see Appendix).</w:t>
      </w:r>
    </w:p>
    <w:p w14:paraId="6E4FAF6B" w14:textId="77777777" w:rsidR="6B662C62" w:rsidRPr="000B70C6" w:rsidRDefault="6B662C62" w:rsidP="54AFCCBD">
      <w:pPr>
        <w:spacing w:line="360" w:lineRule="auto"/>
        <w:rPr>
          <w:rFonts w:eastAsia="Cambria" w:cs="Cambria"/>
        </w:rPr>
      </w:pPr>
    </w:p>
    <w:p w14:paraId="02099E2D" w14:textId="77777777" w:rsidR="00794389" w:rsidRPr="000B70C6" w:rsidRDefault="54AFCCBD" w:rsidP="00CF312B">
      <w:pPr>
        <w:pStyle w:val="Newparagraph"/>
      </w:pPr>
      <w:r w:rsidRPr="000B70C6">
        <w:t xml:space="preserve">For each of the </w:t>
      </w:r>
      <w:r w:rsidR="00B02B8A" w:rsidRPr="000B70C6">
        <w:t xml:space="preserve">above </w:t>
      </w:r>
      <w:r w:rsidRPr="000B70C6">
        <w:t xml:space="preserve">algorithms, performance metrics were computed in order to assess the prediction obtained. </w:t>
      </w:r>
      <w:r w:rsidR="00B02B8A" w:rsidRPr="000B70C6">
        <w:t>A</w:t>
      </w:r>
      <w:r w:rsidRPr="000B70C6">
        <w:t xml:space="preserve">gain, </w:t>
      </w:r>
      <w:r w:rsidR="00B02B8A" w:rsidRPr="000B70C6">
        <w:t xml:space="preserve">the following </w:t>
      </w:r>
      <w:r w:rsidRPr="000B70C6">
        <w:t xml:space="preserve">metrics are widely used in </w:t>
      </w:r>
      <w:r w:rsidR="004E4699" w:rsidRPr="000B70C6">
        <w:t>ML</w:t>
      </w:r>
      <w:r w:rsidRPr="000B70C6">
        <w:t xml:space="preserve"> approaches: (a) accuracy </w:t>
      </w:r>
      <w:r w:rsidR="00B02B8A" w:rsidRPr="000B70C6">
        <w:t xml:space="preserve">is </w:t>
      </w:r>
      <w:r w:rsidRPr="000B70C6">
        <w:t>calculate</w:t>
      </w:r>
      <w:r w:rsidR="00B02B8A" w:rsidRPr="000B70C6">
        <w:t>d as</w:t>
      </w:r>
      <w:r w:rsidRPr="000B70C6">
        <w:t xml:space="preserve"> the proportion of true positive and true negative </w:t>
      </w:r>
      <w:r w:rsidR="00284370">
        <w:t xml:space="preserve">predictions </w:t>
      </w:r>
      <w:r w:rsidRPr="000B70C6">
        <w:t>in all cases</w:t>
      </w:r>
      <w:r w:rsidR="009E6B20" w:rsidRPr="009E6B20">
        <w:t xml:space="preserve"> </w:t>
      </w:r>
      <w:r w:rsidR="009E6B20" w:rsidRPr="000B70C6">
        <w:t>evaluated</w:t>
      </w:r>
      <w:r w:rsidRPr="000B70C6">
        <w:t xml:space="preserve">; (b) precision is a measure which estimates the probability that a positive prediction is correct; (c) recall is the proportion of instances belonging to the positive class that are correctly predicted as positive; (d) </w:t>
      </w:r>
      <w:r w:rsidR="009E6B20">
        <w:t xml:space="preserve">the </w:t>
      </w:r>
      <w:r w:rsidRPr="000B70C6">
        <w:t xml:space="preserve">F1-score </w:t>
      </w:r>
      <w:r w:rsidR="00B02B8A" w:rsidRPr="000B70C6">
        <w:t xml:space="preserve">indicates </w:t>
      </w:r>
      <w:r w:rsidRPr="000B70C6">
        <w:t xml:space="preserve">a weighted harmonic average of precision and recall; (e) Cohen’s kappa is a measure of the validity of the classification when confronted with a random result; (f) </w:t>
      </w:r>
      <w:r w:rsidR="009E6B20">
        <w:t xml:space="preserve">the </w:t>
      </w:r>
      <w:r w:rsidRPr="000B70C6">
        <w:t>ROC curve is a plot of True Positive Rate versus False Positive Rate; and finally</w:t>
      </w:r>
      <w:r w:rsidR="00A00E59" w:rsidRPr="000B70C6">
        <w:t xml:space="preserve">; </w:t>
      </w:r>
      <w:r w:rsidRPr="000B70C6">
        <w:t xml:space="preserve">(g) </w:t>
      </w:r>
      <w:r w:rsidR="00B02B8A" w:rsidRPr="000B70C6">
        <w:t xml:space="preserve">the </w:t>
      </w:r>
      <w:r w:rsidRPr="000B70C6">
        <w:t>Precision-Recall curve area indicates the graphical relation</w:t>
      </w:r>
      <w:r w:rsidR="009E6B20">
        <w:t>ship</w:t>
      </w:r>
      <w:r w:rsidRPr="000B70C6">
        <w:t xml:space="preserve"> between precision and recall. Finally, we computed the ranking of the importance of the features in order to </w:t>
      </w:r>
      <w:r w:rsidR="00B02B8A" w:rsidRPr="000B70C6">
        <w:t>determine which</w:t>
      </w:r>
      <w:r w:rsidRPr="000B70C6">
        <w:t xml:space="preserve"> input variables contribute </w:t>
      </w:r>
      <w:r w:rsidR="00B02B8A" w:rsidRPr="000B70C6">
        <w:t>most</w:t>
      </w:r>
      <w:r w:rsidRPr="000B70C6">
        <w:t xml:space="preserve"> to predict</w:t>
      </w:r>
      <w:r w:rsidR="00B02B8A" w:rsidRPr="000B70C6">
        <w:t>ing</w:t>
      </w:r>
      <w:r w:rsidRPr="000B70C6">
        <w:t xml:space="preserve"> converter and non-converter participants. </w:t>
      </w:r>
      <w:r w:rsidR="00B02B8A" w:rsidRPr="000B70C6">
        <w:t>For</w:t>
      </w:r>
      <w:r w:rsidRPr="000B70C6">
        <w:t xml:space="preserve"> this</w:t>
      </w:r>
      <w:r w:rsidR="00B02B8A" w:rsidRPr="000B70C6">
        <w:t xml:space="preserve"> purpose</w:t>
      </w:r>
      <w:r w:rsidRPr="000B70C6">
        <w:t>, we applied the feature selection functions supported by the ensemble ML algorithms</w:t>
      </w:r>
      <w:r w:rsidR="00B02B8A" w:rsidRPr="000B70C6">
        <w:t xml:space="preserve"> (for further information, see Appendix).</w:t>
      </w:r>
    </w:p>
    <w:p w14:paraId="4605D307" w14:textId="77777777" w:rsidR="00DC1426" w:rsidRPr="000B70C6" w:rsidRDefault="00DC1426" w:rsidP="54AFCCBD">
      <w:pPr>
        <w:spacing w:line="360" w:lineRule="auto"/>
        <w:rPr>
          <w:rFonts w:ascii="Times New Roman" w:eastAsia="Times New Roman" w:hAnsi="Times New Roman"/>
          <w:i/>
          <w:iCs/>
          <w:color w:val="1C1D1E"/>
        </w:rPr>
      </w:pPr>
    </w:p>
    <w:p w14:paraId="687D939A" w14:textId="77777777" w:rsidR="006C7530" w:rsidRPr="000B70C6" w:rsidRDefault="006C7530" w:rsidP="00DC1426">
      <w:pPr>
        <w:pStyle w:val="Ttulo1"/>
        <w:rPr>
          <w:sz w:val="24"/>
          <w:szCs w:val="24"/>
          <w:lang w:val="en-GB"/>
        </w:rPr>
      </w:pPr>
      <w:r w:rsidRPr="000B70C6">
        <w:rPr>
          <w:sz w:val="24"/>
          <w:szCs w:val="24"/>
          <w:lang w:val="en-GB"/>
        </w:rPr>
        <w:t>Results</w:t>
      </w:r>
    </w:p>
    <w:p w14:paraId="3494668B" w14:textId="77777777" w:rsidR="00DC1426" w:rsidRPr="000B70C6" w:rsidRDefault="00DC1426" w:rsidP="00DC1426">
      <w:pPr>
        <w:rPr>
          <w:rFonts w:ascii="Times New Roman" w:hAnsi="Times New Roman"/>
        </w:rPr>
      </w:pPr>
    </w:p>
    <w:p w14:paraId="3C2EB60B" w14:textId="77777777" w:rsidR="00134D0E" w:rsidRPr="000B70C6" w:rsidRDefault="00134D0E" w:rsidP="00134D0E">
      <w:pPr>
        <w:pStyle w:val="Newparagraph"/>
        <w:rPr>
          <w:rFonts w:eastAsia="Cambria"/>
        </w:rPr>
      </w:pPr>
      <w:r w:rsidRPr="000B70C6">
        <w:rPr>
          <w:rFonts w:eastAsia="Cambria"/>
        </w:rPr>
        <w:t>3.1. D</w:t>
      </w:r>
      <w:r w:rsidR="00284370">
        <w:rPr>
          <w:rFonts w:eastAsia="Cambria"/>
        </w:rPr>
        <w:t>ifferences in d</w:t>
      </w:r>
      <w:r w:rsidRPr="000B70C6">
        <w:rPr>
          <w:rFonts w:eastAsia="Cambria"/>
        </w:rPr>
        <w:t>emographic, health and CR differences between converters and non-converters</w:t>
      </w:r>
    </w:p>
    <w:p w14:paraId="670A8BC6" w14:textId="13760F2F" w:rsidR="00FD2009" w:rsidRPr="000B70C6" w:rsidRDefault="00FD2009">
      <w:pPr>
        <w:pStyle w:val="Newparagraph"/>
        <w:rPr>
          <w:rFonts w:ascii="Cambria" w:eastAsia="Cambria" w:hAnsi="Cambria" w:cs="Cambria"/>
        </w:rPr>
      </w:pPr>
      <w:r w:rsidRPr="000B70C6">
        <w:t>Comparisons between converters and non-converter</w:t>
      </w:r>
      <w:r w:rsidR="00284370">
        <w:t>s</w:t>
      </w:r>
      <w:r w:rsidRPr="000B70C6">
        <w:t xml:space="preserve"> </w:t>
      </w:r>
      <w:r w:rsidR="00284370">
        <w:t>in relation to</w:t>
      </w:r>
      <w:r w:rsidRPr="000B70C6">
        <w:t xml:space="preserve"> demographic, health status and </w:t>
      </w:r>
      <w:r w:rsidR="00836357" w:rsidRPr="000B70C6">
        <w:t>CR</w:t>
      </w:r>
      <w:r w:rsidRPr="000B70C6">
        <w:t xml:space="preserve"> proxies </w:t>
      </w:r>
      <w:r w:rsidR="00024C69" w:rsidRPr="000B70C6">
        <w:t>are</w:t>
      </w:r>
      <w:r w:rsidRPr="000B70C6">
        <w:t xml:space="preserve"> </w:t>
      </w:r>
      <w:r w:rsidR="00B02B8A" w:rsidRPr="000B70C6">
        <w:t xml:space="preserve">shown </w:t>
      </w:r>
      <w:r w:rsidRPr="000B70C6">
        <w:t xml:space="preserve">in </w:t>
      </w:r>
      <w:r w:rsidR="00156D24" w:rsidRPr="00D9090F">
        <w:fldChar w:fldCharType="begin"/>
      </w:r>
      <w:r w:rsidR="00033DFF" w:rsidRPr="000B70C6">
        <w:instrText xml:space="preserve"> REF _Ref517798705 \h  \* MERGEFORMAT </w:instrText>
      </w:r>
      <w:r w:rsidR="00156D24" w:rsidRPr="00D9090F">
        <w:fldChar w:fldCharType="separate"/>
      </w:r>
      <w:r w:rsidR="006F7AF0" w:rsidRPr="000B70C6">
        <w:rPr>
          <w:color w:val="1C1D1E"/>
          <w:shd w:val="clear" w:color="auto" w:fill="FFFFFF"/>
        </w:rPr>
        <w:t xml:space="preserve">Table </w:t>
      </w:r>
      <w:r w:rsidR="006F7AF0">
        <w:rPr>
          <w:color w:val="1C1D1E"/>
          <w:shd w:val="clear" w:color="auto" w:fill="FFFFFF"/>
        </w:rPr>
        <w:t>2</w:t>
      </w:r>
      <w:r w:rsidR="00156D24" w:rsidRPr="00D9090F">
        <w:fldChar w:fldCharType="end"/>
      </w:r>
      <w:r w:rsidRPr="000B70C6">
        <w:rPr>
          <w:rFonts w:ascii="Cambria" w:eastAsia="Cambria" w:hAnsi="Cambria" w:cs="Cambria"/>
        </w:rPr>
        <w:t xml:space="preserve">. </w:t>
      </w:r>
      <w:r w:rsidR="00627ECE" w:rsidRPr="000B70C6">
        <w:t xml:space="preserve">Significant differences were found for age, occupational status, WAIS vocabulary subtest and Peabody scores and diagnostic group at baseline. </w:t>
      </w:r>
      <w:r w:rsidR="009E6B20">
        <w:t>The c</w:t>
      </w:r>
      <w:r w:rsidR="009E6B20" w:rsidRPr="000B70C6">
        <w:t xml:space="preserve">onverters </w:t>
      </w:r>
      <w:r w:rsidR="00B02B8A" w:rsidRPr="000B70C6">
        <w:t xml:space="preserve">were </w:t>
      </w:r>
      <w:r w:rsidR="00627ECE" w:rsidRPr="000B70C6">
        <w:t xml:space="preserve">older and most of them </w:t>
      </w:r>
      <w:r w:rsidR="00B02B8A" w:rsidRPr="000B70C6">
        <w:t xml:space="preserve">were </w:t>
      </w:r>
      <w:r w:rsidR="00627ECE" w:rsidRPr="000B70C6">
        <w:t>retired</w:t>
      </w:r>
      <w:r w:rsidR="00B02B8A" w:rsidRPr="000B70C6">
        <w:t xml:space="preserve">. In addition, </w:t>
      </w:r>
      <w:r w:rsidR="00C8340C" w:rsidRPr="000B70C6">
        <w:t xml:space="preserve">their vocabulary scores </w:t>
      </w:r>
      <w:r w:rsidR="00B02B8A" w:rsidRPr="000B70C6">
        <w:t xml:space="preserve">were </w:t>
      </w:r>
      <w:r w:rsidR="006C3755">
        <w:t>lower</w:t>
      </w:r>
      <w:r w:rsidR="006C3755" w:rsidRPr="000B70C6">
        <w:t xml:space="preserve"> </w:t>
      </w:r>
      <w:r w:rsidR="00134D0E" w:rsidRPr="000B70C6">
        <w:t xml:space="preserve">than </w:t>
      </w:r>
      <w:r w:rsidR="00B02B8A" w:rsidRPr="000B70C6">
        <w:t xml:space="preserve">those of </w:t>
      </w:r>
      <w:r w:rsidR="00134D0E" w:rsidRPr="000B70C6">
        <w:t>non-converters</w:t>
      </w:r>
      <w:r w:rsidR="00614EA8" w:rsidRPr="000B70C6">
        <w:rPr>
          <w:rFonts w:ascii="Cambria" w:eastAsia="Cambria" w:hAnsi="Cambria" w:cs="Cambria"/>
        </w:rPr>
        <w:t>,</w:t>
      </w:r>
      <w:r w:rsidR="00C8340C" w:rsidRPr="000B70C6">
        <w:t xml:space="preserve"> and a higher percentage </w:t>
      </w:r>
      <w:r w:rsidR="00614EA8" w:rsidRPr="000B70C6">
        <w:t xml:space="preserve">of converters </w:t>
      </w:r>
      <w:r w:rsidR="00134D0E" w:rsidRPr="000B70C6">
        <w:t xml:space="preserve">were </w:t>
      </w:r>
      <w:r w:rsidR="009E6B20">
        <w:t xml:space="preserve">diagnosed with </w:t>
      </w:r>
      <w:r w:rsidR="00C8340C" w:rsidRPr="000B70C6">
        <w:t>sda</w:t>
      </w:r>
      <w:r w:rsidR="006C3755">
        <w:t>-</w:t>
      </w:r>
      <w:r w:rsidR="00C8340C" w:rsidRPr="000B70C6">
        <w:t>MCI and ma</w:t>
      </w:r>
      <w:r w:rsidR="006C3755">
        <w:t>-</w:t>
      </w:r>
      <w:r w:rsidR="00C8340C" w:rsidRPr="000B70C6">
        <w:t>MCI.</w:t>
      </w:r>
    </w:p>
    <w:p w14:paraId="1AA12B96" w14:textId="77777777" w:rsidR="00627ECE" w:rsidRPr="000B70C6" w:rsidRDefault="00627ECE" w:rsidP="00614EA8">
      <w:pPr>
        <w:pStyle w:val="Newparagraph"/>
        <w:rPr>
          <w:rFonts w:eastAsia="Cambria"/>
        </w:rPr>
      </w:pPr>
    </w:p>
    <w:p w14:paraId="3411C840" w14:textId="77777777" w:rsidR="00C035B6" w:rsidRPr="000B70C6" w:rsidRDefault="00FB6905" w:rsidP="00FB6905">
      <w:pPr>
        <w:spacing w:line="360" w:lineRule="auto"/>
        <w:jc w:val="center"/>
        <w:rPr>
          <w:rFonts w:ascii="Times New Roman" w:eastAsia="Times New Roman" w:hAnsi="Times New Roman"/>
          <w:color w:val="1C1D1E"/>
          <w:shd w:val="clear" w:color="auto" w:fill="FFFFFF"/>
        </w:rPr>
      </w:pPr>
      <w:r>
        <w:rPr>
          <w:rFonts w:ascii="Times New Roman" w:eastAsia="Times New Roman" w:hAnsi="Times New Roman"/>
          <w:color w:val="1C1D1E"/>
          <w:shd w:val="clear" w:color="auto" w:fill="FFFFFF"/>
        </w:rPr>
        <w:t>(to insert Table 2 around here)</w:t>
      </w:r>
    </w:p>
    <w:p w14:paraId="293BFFEA" w14:textId="77777777" w:rsidR="00024C69" w:rsidRPr="000B70C6" w:rsidRDefault="00024C69" w:rsidP="54AFCCBD">
      <w:pPr>
        <w:spacing w:line="360" w:lineRule="auto"/>
        <w:rPr>
          <w:rFonts w:ascii="Times New Roman" w:eastAsia="Times New Roman" w:hAnsi="Times New Roman"/>
          <w:color w:val="1C1D1E"/>
          <w:u w:val="single"/>
          <w:shd w:val="clear" w:color="auto" w:fill="FFFFFF"/>
        </w:rPr>
      </w:pPr>
    </w:p>
    <w:p w14:paraId="7DD5847A" w14:textId="77777777" w:rsidR="00134D0E" w:rsidRPr="000B70C6" w:rsidRDefault="00134D0E" w:rsidP="00134D0E">
      <w:pPr>
        <w:pStyle w:val="Newparagraph"/>
        <w:rPr>
          <w:rFonts w:eastAsia="Cambria"/>
        </w:rPr>
      </w:pPr>
      <w:r w:rsidRPr="000B70C6">
        <w:rPr>
          <w:rFonts w:eastAsia="Cambria"/>
        </w:rPr>
        <w:t>3.2. M</w:t>
      </w:r>
      <w:r w:rsidR="00BE69C5" w:rsidRPr="000B70C6">
        <w:rPr>
          <w:rFonts w:eastAsia="Cambria"/>
        </w:rPr>
        <w:t xml:space="preserve">achine </w:t>
      </w:r>
      <w:r w:rsidRPr="000B70C6">
        <w:rPr>
          <w:rFonts w:eastAsia="Cambria"/>
        </w:rPr>
        <w:t>L</w:t>
      </w:r>
      <w:r w:rsidR="00BE69C5" w:rsidRPr="000B70C6">
        <w:rPr>
          <w:rFonts w:eastAsia="Cambria"/>
        </w:rPr>
        <w:t>earning classification</w:t>
      </w:r>
      <w:r w:rsidRPr="000B70C6">
        <w:rPr>
          <w:rFonts w:eastAsia="Cambria"/>
        </w:rPr>
        <w:t xml:space="preserve"> </w:t>
      </w:r>
      <w:r w:rsidR="00B02B8A" w:rsidRPr="000B70C6">
        <w:rPr>
          <w:rFonts w:eastAsia="Cambria"/>
        </w:rPr>
        <w:t xml:space="preserve">of </w:t>
      </w:r>
      <w:r w:rsidR="00BE69C5" w:rsidRPr="000B70C6">
        <w:rPr>
          <w:rFonts w:eastAsia="Cambria"/>
        </w:rPr>
        <w:t xml:space="preserve">converters and non-converters </w:t>
      </w:r>
    </w:p>
    <w:p w14:paraId="03483FAC" w14:textId="77777777" w:rsidR="76E8BC6B" w:rsidRPr="000B70C6" w:rsidRDefault="00024C69">
      <w:pPr>
        <w:pStyle w:val="Newparagraph"/>
        <w:rPr>
          <w:rFonts w:ascii="Cambria" w:eastAsia="Cambria" w:hAnsi="Cambria" w:cs="Cambria"/>
        </w:rPr>
      </w:pPr>
      <w:r w:rsidRPr="000B70C6">
        <w:t xml:space="preserve">The </w:t>
      </w:r>
      <w:r w:rsidR="54AFCCBD" w:rsidRPr="000B70C6">
        <w:t>data</w:t>
      </w:r>
      <w:r w:rsidR="00B02B8A" w:rsidRPr="000B70C6">
        <w:t xml:space="preserve"> were</w:t>
      </w:r>
      <w:r w:rsidR="54AFCCBD" w:rsidRPr="000B70C6">
        <w:t xml:space="preserve"> processed </w:t>
      </w:r>
      <w:r w:rsidR="00B02B8A" w:rsidRPr="000B70C6">
        <w:t xml:space="preserve">using </w:t>
      </w:r>
      <w:r w:rsidR="54AFCCBD" w:rsidRPr="000B70C6">
        <w:t xml:space="preserve">the nine </w:t>
      </w:r>
      <w:r w:rsidRPr="000B70C6">
        <w:t>ML</w:t>
      </w:r>
      <w:r w:rsidR="54AFCCBD" w:rsidRPr="000B70C6">
        <w:t xml:space="preserve"> algorithms </w:t>
      </w:r>
      <w:r w:rsidR="00B02B8A" w:rsidRPr="000B70C6">
        <w:t xml:space="preserve">outlined </w:t>
      </w:r>
      <w:r w:rsidR="54AFCCBD" w:rsidRPr="000B70C6">
        <w:t xml:space="preserve">above. The metrics </w:t>
      </w:r>
      <w:r w:rsidRPr="000B70C6">
        <w:t xml:space="preserve">included in </w:t>
      </w:r>
      <w:r w:rsidR="00156D24" w:rsidRPr="00D9090F">
        <w:fldChar w:fldCharType="begin"/>
      </w:r>
      <w:r w:rsidR="00033DFF" w:rsidRPr="000B70C6">
        <w:instrText xml:space="preserve"> REF _Ref517798753 \h  \* MERGEFORMAT </w:instrText>
      </w:r>
      <w:r w:rsidR="00156D24" w:rsidRPr="00D9090F">
        <w:fldChar w:fldCharType="separate"/>
      </w:r>
      <w:r w:rsidR="006F7AF0" w:rsidRPr="000B70C6">
        <w:rPr>
          <w:color w:val="1C1D1E"/>
        </w:rPr>
        <w:t xml:space="preserve">Table </w:t>
      </w:r>
      <w:r w:rsidR="006F7AF0">
        <w:rPr>
          <w:color w:val="1C1D1E"/>
        </w:rPr>
        <w:t>3</w:t>
      </w:r>
      <w:r w:rsidR="00156D24" w:rsidRPr="00D9090F">
        <w:fldChar w:fldCharType="end"/>
      </w:r>
      <w:r w:rsidR="54AFCCBD" w:rsidRPr="000B70C6">
        <w:t xml:space="preserve">, ordered by highest to lowest accuracy, </w:t>
      </w:r>
      <w:r w:rsidRPr="000B70C6">
        <w:t xml:space="preserve">show </w:t>
      </w:r>
      <w:r w:rsidR="54AFCCBD" w:rsidRPr="000B70C6">
        <w:t xml:space="preserve">the classification abilities exploring the role of </w:t>
      </w:r>
      <w:r w:rsidRPr="000B70C6">
        <w:t xml:space="preserve">demographic, health and </w:t>
      </w:r>
      <w:r w:rsidR="00B76066" w:rsidRPr="000B70C6">
        <w:t>CR</w:t>
      </w:r>
      <w:r w:rsidRPr="000B70C6">
        <w:t xml:space="preserve"> proxies</w:t>
      </w:r>
      <w:r w:rsidR="54AFCCBD" w:rsidRPr="000B70C6">
        <w:t xml:space="preserve"> in</w:t>
      </w:r>
      <w:r w:rsidRPr="000B70C6">
        <w:t xml:space="preserve"> the conversion from MCI to </w:t>
      </w:r>
      <w:r w:rsidR="00B76066" w:rsidRPr="000B70C6">
        <w:t>dementia</w:t>
      </w:r>
      <w:r w:rsidRPr="000B70C6">
        <w:t xml:space="preserve">. </w:t>
      </w:r>
      <w:r w:rsidR="009E6B20">
        <w:t>The mean</w:t>
      </w:r>
      <w:r w:rsidR="009E6B20" w:rsidRPr="000B70C6">
        <w:t xml:space="preserve"> </w:t>
      </w:r>
      <w:r w:rsidRPr="000B70C6">
        <w:t>accuracy</w:t>
      </w:r>
      <w:r w:rsidR="54AFCCBD" w:rsidRPr="000B70C6">
        <w:t xml:space="preserve"> obtained for all algorithms </w:t>
      </w:r>
      <w:r w:rsidR="009E6B20" w:rsidRPr="000B70C6">
        <w:t>exceed</w:t>
      </w:r>
      <w:r w:rsidR="009E6B20">
        <w:t>ed</w:t>
      </w:r>
      <w:r w:rsidR="009E6B20" w:rsidRPr="000B70C6">
        <w:t xml:space="preserve"> </w:t>
      </w:r>
      <w:r w:rsidR="54AFCCBD" w:rsidRPr="000B70C6">
        <w:t xml:space="preserve">0.79. </w:t>
      </w:r>
      <w:r w:rsidR="00B02B8A" w:rsidRPr="000B70C6">
        <w:t xml:space="preserve">The </w:t>
      </w:r>
      <w:r w:rsidR="54AFCCBD" w:rsidRPr="000B70C6">
        <w:t>Gradient Boosting</w:t>
      </w:r>
      <w:r w:rsidR="00614EA8" w:rsidRPr="000B70C6">
        <w:t xml:space="preserve"> and</w:t>
      </w:r>
      <w:r w:rsidR="54AFCCBD" w:rsidRPr="000B70C6">
        <w:t xml:space="preserve"> Random Forest</w:t>
      </w:r>
      <w:r w:rsidR="00D01228" w:rsidRPr="000B70C6">
        <w:t xml:space="preserve"> </w:t>
      </w:r>
      <w:r w:rsidR="009E6B20">
        <w:t>performed best</w:t>
      </w:r>
      <w:r w:rsidR="54AFCCBD" w:rsidRPr="000B70C6">
        <w:t xml:space="preserve">, with an accuracy </w:t>
      </w:r>
      <w:r w:rsidR="009E6B20">
        <w:t>greater than</w:t>
      </w:r>
      <w:r w:rsidR="54AFCCBD" w:rsidRPr="000B70C6">
        <w:t xml:space="preserve"> 0.90.</w:t>
      </w:r>
      <w:r w:rsidRPr="000B70C6">
        <w:t xml:space="preserve"> </w:t>
      </w:r>
      <w:r w:rsidR="009E6B20">
        <w:t>T</w:t>
      </w:r>
      <w:r w:rsidR="00B02B8A" w:rsidRPr="000B70C6">
        <w:t>he</w:t>
      </w:r>
      <w:r w:rsidRPr="000B70C6">
        <w:t xml:space="preserve"> F1-score</w:t>
      </w:r>
      <w:r w:rsidR="009E6B20">
        <w:t xml:space="preserve"> </w:t>
      </w:r>
      <w:r w:rsidR="54AFCCBD" w:rsidRPr="000B70C6">
        <w:t xml:space="preserve">weighted harmonic average of precision and recall </w:t>
      </w:r>
      <w:r w:rsidR="00B02B8A" w:rsidRPr="000B70C6">
        <w:t xml:space="preserve">exceeded </w:t>
      </w:r>
      <w:r w:rsidR="54AFCCBD" w:rsidRPr="000B70C6">
        <w:t xml:space="preserve">0.79 for </w:t>
      </w:r>
      <w:r w:rsidR="009E6B20">
        <w:t xml:space="preserve">the </w:t>
      </w:r>
      <w:r w:rsidR="009E6B20" w:rsidRPr="000B70C6">
        <w:t>Gradient Boosting</w:t>
      </w:r>
      <w:r w:rsidR="009E6B20">
        <w:t>,</w:t>
      </w:r>
      <w:r w:rsidR="009E6B20" w:rsidRPr="000B70C6">
        <w:t xml:space="preserve"> Random Forest </w:t>
      </w:r>
      <w:r w:rsidR="009E6B20">
        <w:t xml:space="preserve">and the </w:t>
      </w:r>
      <w:r w:rsidR="00614EA8" w:rsidRPr="000B70C6">
        <w:t>Ada Boost</w:t>
      </w:r>
      <w:r w:rsidR="00D01228" w:rsidRPr="000B70C6">
        <w:t xml:space="preserve"> Classifier</w:t>
      </w:r>
      <w:r w:rsidR="54AFCCBD" w:rsidRPr="000B70C6">
        <w:rPr>
          <w:rFonts w:ascii="Cambria" w:eastAsia="Cambria" w:hAnsi="Cambria" w:cs="Cambria"/>
        </w:rPr>
        <w:t>.</w:t>
      </w:r>
      <w:r w:rsidRPr="000B70C6">
        <w:t xml:space="preserve"> Finally, </w:t>
      </w:r>
      <w:r w:rsidR="009E6B20">
        <w:t xml:space="preserve">the </w:t>
      </w:r>
      <w:r w:rsidRPr="000B70C6">
        <w:t xml:space="preserve">Cohen’s kappa </w:t>
      </w:r>
      <w:r w:rsidR="54AFCCBD" w:rsidRPr="000B70C6">
        <w:t xml:space="preserve">measure of the validity of the classification without random influence was </w:t>
      </w:r>
      <w:r w:rsidR="009E6B20">
        <w:t>greater than</w:t>
      </w:r>
      <w:r w:rsidR="54AFCCBD" w:rsidRPr="000B70C6">
        <w:t xml:space="preserve"> 0.71 for Gradient Boosting, Ada Boost and Random Forest classifiers.</w:t>
      </w:r>
    </w:p>
    <w:p w14:paraId="05BF6D00" w14:textId="77777777" w:rsidR="76E8BC6B" w:rsidRPr="000B70C6" w:rsidRDefault="76E8BC6B" w:rsidP="54AFCCBD">
      <w:pPr>
        <w:rPr>
          <w:rFonts w:ascii="Times New Roman" w:eastAsia="Times New Roman" w:hAnsi="Times New Roman"/>
        </w:rPr>
      </w:pPr>
    </w:p>
    <w:p w14:paraId="1BC53F5E" w14:textId="77777777" w:rsidR="76E8BC6B" w:rsidRPr="000B70C6" w:rsidRDefault="00FB6905" w:rsidP="00FB6905">
      <w:pPr>
        <w:spacing w:line="360" w:lineRule="auto"/>
        <w:jc w:val="center"/>
        <w:rPr>
          <w:rFonts w:ascii="Times New Roman" w:eastAsia="Times New Roman" w:hAnsi="Times New Roman"/>
          <w:color w:val="1C1D1E"/>
          <w:sz w:val="22"/>
          <w:szCs w:val="22"/>
          <w:shd w:val="clear" w:color="auto" w:fill="FFFFFF"/>
        </w:rPr>
      </w:pPr>
      <w:r>
        <w:rPr>
          <w:rFonts w:ascii="Times New Roman" w:eastAsia="Times New Roman" w:hAnsi="Times New Roman"/>
          <w:color w:val="1C1D1E"/>
        </w:rPr>
        <w:t>(to insert Table 3 around here)</w:t>
      </w:r>
    </w:p>
    <w:p w14:paraId="791CC39D" w14:textId="77777777" w:rsidR="00E94900" w:rsidRPr="000B70C6" w:rsidRDefault="00E94900" w:rsidP="54AFCCBD">
      <w:pPr>
        <w:spacing w:line="360" w:lineRule="auto"/>
        <w:rPr>
          <w:rFonts w:ascii="Times New Roman" w:eastAsia="Times New Roman" w:hAnsi="Times New Roman"/>
          <w:color w:val="1C1D1E"/>
          <w:sz w:val="22"/>
          <w:szCs w:val="22"/>
          <w:shd w:val="clear" w:color="auto" w:fill="FFFFFF"/>
        </w:rPr>
      </w:pPr>
    </w:p>
    <w:p w14:paraId="5F89641E" w14:textId="33314110" w:rsidR="76E8BC6B" w:rsidRPr="000B70C6" w:rsidRDefault="00A36AE7" w:rsidP="00C57F2E">
      <w:pPr>
        <w:pStyle w:val="Newparagraph"/>
      </w:pPr>
      <w:r w:rsidRPr="000B70C6">
        <w:t>Following Accuracy and Precision</w:t>
      </w:r>
      <w:r w:rsidR="005178F9" w:rsidRPr="000B70C6">
        <w:t xml:space="preserve"> outcomes</w:t>
      </w:r>
      <w:r w:rsidR="00C57F2E" w:rsidRPr="000B70C6">
        <w:t xml:space="preserve">, </w:t>
      </w:r>
      <w:r w:rsidR="005F2C74" w:rsidRPr="000B70C6">
        <w:t xml:space="preserve">as </w:t>
      </w:r>
      <w:r w:rsidR="00C57F2E" w:rsidRPr="000B70C6">
        <w:t>the best prediction</w:t>
      </w:r>
      <w:r w:rsidR="005F2C74" w:rsidRPr="000B70C6">
        <w:t>s</w:t>
      </w:r>
      <w:r w:rsidR="00C57F2E" w:rsidRPr="000B70C6">
        <w:t xml:space="preserve"> </w:t>
      </w:r>
      <w:r w:rsidR="005F2C74" w:rsidRPr="000B70C6">
        <w:t xml:space="preserve">of </w:t>
      </w:r>
      <w:r w:rsidR="00C57F2E" w:rsidRPr="000B70C6">
        <w:t xml:space="preserve">conversion or non-conversion were obtained from </w:t>
      </w:r>
      <w:r w:rsidR="003A5552">
        <w:t xml:space="preserve">the </w:t>
      </w:r>
      <w:r w:rsidR="00C57F2E" w:rsidRPr="000B70C6">
        <w:t xml:space="preserve">ensemble </w:t>
      </w:r>
      <w:r w:rsidR="003A5552">
        <w:t xml:space="preserve">of </w:t>
      </w:r>
      <w:r w:rsidR="00C57F2E" w:rsidRPr="000B70C6">
        <w:t xml:space="preserve">Gradient Boosting and Random Forest, we </w:t>
      </w:r>
      <w:r w:rsidR="005F44E8">
        <w:t>selected</w:t>
      </w:r>
      <w:r w:rsidR="00C57F2E" w:rsidRPr="000B70C6">
        <w:t xml:space="preserve"> </w:t>
      </w:r>
      <w:r w:rsidR="005178F9" w:rsidRPr="000B70C6">
        <w:t xml:space="preserve">both </w:t>
      </w:r>
      <w:r w:rsidR="00C57F2E" w:rsidRPr="000B70C6">
        <w:t xml:space="preserve">algorithms. </w:t>
      </w:r>
      <w:r w:rsidRPr="000B70C6">
        <w:t xml:space="preserve">Accordingly, we developed </w:t>
      </w:r>
      <w:r w:rsidR="003D0DD8" w:rsidRPr="000B70C6">
        <w:t>precision-recall curve</w:t>
      </w:r>
      <w:r w:rsidRPr="000B70C6">
        <w:t>s</w:t>
      </w:r>
      <w:r w:rsidR="003D0DD8" w:rsidRPr="000B70C6">
        <w:t xml:space="preserve"> and ROC curve</w:t>
      </w:r>
      <w:r w:rsidRPr="000B70C6">
        <w:t>s for these algorithms</w:t>
      </w:r>
      <w:r w:rsidR="00F46CDE" w:rsidRPr="000B70C6">
        <w:t>,</w:t>
      </w:r>
      <w:r w:rsidR="00AC57EA" w:rsidRPr="000B70C6">
        <w:t xml:space="preserve"> a</w:t>
      </w:r>
      <w:r w:rsidR="2DE0E3FA" w:rsidRPr="000B70C6">
        <w:t>s an indication of classification quality</w:t>
      </w:r>
      <w:r w:rsidR="00AC57EA" w:rsidRPr="000B70C6">
        <w:t xml:space="preserve">. </w:t>
      </w:r>
      <w:r w:rsidR="003A5552">
        <w:t>We</w:t>
      </w:r>
      <w:r w:rsidR="00AC57EA" w:rsidRPr="000B70C6">
        <w:t xml:space="preserve"> computed </w:t>
      </w:r>
      <w:r w:rsidR="2DE0E3FA" w:rsidRPr="000B70C6">
        <w:t xml:space="preserve">the precision-recall curve, </w:t>
      </w:r>
      <w:r w:rsidR="005F44E8">
        <w:t>in which</w:t>
      </w:r>
      <w:r w:rsidR="005F44E8" w:rsidRPr="000B70C6">
        <w:t xml:space="preserve"> </w:t>
      </w:r>
      <w:r w:rsidR="2DE0E3FA" w:rsidRPr="000B70C6">
        <w:t xml:space="preserve">a larger area below the curve indicates </w:t>
      </w:r>
      <w:r w:rsidR="005F2C74" w:rsidRPr="000B70C6">
        <w:t xml:space="preserve">both greater </w:t>
      </w:r>
      <w:r w:rsidR="2DE0E3FA" w:rsidRPr="000B70C6">
        <w:t>precision and</w:t>
      </w:r>
      <w:r w:rsidR="003D0DD8" w:rsidRPr="000B70C6">
        <w:t xml:space="preserve"> </w:t>
      </w:r>
      <w:r w:rsidR="005F2C74" w:rsidRPr="000B70C6">
        <w:t xml:space="preserve">higher </w:t>
      </w:r>
      <w:r w:rsidR="003D0DD8" w:rsidRPr="000B70C6">
        <w:t>recall (</w:t>
      </w:r>
      <w:r w:rsidR="006C3755">
        <w:t xml:space="preserve">see </w:t>
      </w:r>
      <w:r w:rsidR="003D0DD8" w:rsidRPr="000B70C6">
        <w:t>Figure</w:t>
      </w:r>
      <w:r w:rsidR="2DE0E3FA" w:rsidRPr="000B70C6">
        <w:t xml:space="preserve"> 1). </w:t>
      </w:r>
      <w:r w:rsidR="005C6552">
        <w:t>We also computed</w:t>
      </w:r>
      <w:r w:rsidR="00AA1933" w:rsidRPr="000B70C6">
        <w:t xml:space="preserve"> the </w:t>
      </w:r>
      <w:r w:rsidR="2DE0E3FA" w:rsidRPr="000B70C6">
        <w:t>ROC curve to assess the</w:t>
      </w:r>
      <w:r w:rsidR="003D0DD8" w:rsidRPr="000B70C6">
        <w:t xml:space="preserve"> performance</w:t>
      </w:r>
      <w:r w:rsidR="005F2C74" w:rsidRPr="000B70C6">
        <w:t xml:space="preserve"> of the classifier</w:t>
      </w:r>
      <w:r w:rsidR="003D0DD8" w:rsidRPr="000B70C6">
        <w:t xml:space="preserve">. </w:t>
      </w:r>
      <w:r w:rsidR="005F2C74" w:rsidRPr="000B70C6">
        <w:t xml:space="preserve">Both </w:t>
      </w:r>
      <w:r w:rsidR="2DE0E3FA" w:rsidRPr="000B70C6">
        <w:t>have an excellent average AUC</w:t>
      </w:r>
      <w:r w:rsidR="00401BE9" w:rsidRPr="000B70C6">
        <w:t xml:space="preserve"> (mean ROC AUC 0.93 for Gradient Boosting and 0.92</w:t>
      </w:r>
      <w:r w:rsidR="2DE0E3FA" w:rsidRPr="000B70C6">
        <w:t>.</w:t>
      </w:r>
      <w:r w:rsidR="00401BE9" w:rsidRPr="000B70C6">
        <w:t xml:space="preserve"> for Random Forest</w:t>
      </w:r>
      <w:r w:rsidR="005F2C74" w:rsidRPr="000B70C6">
        <w:t>) (</w:t>
      </w:r>
      <w:r w:rsidR="006C3755">
        <w:t xml:space="preserve">see </w:t>
      </w:r>
      <w:r w:rsidR="005F2C74" w:rsidRPr="000B70C6">
        <w:t>Fig</w:t>
      </w:r>
      <w:r w:rsidR="006C3755">
        <w:t xml:space="preserve">ure </w:t>
      </w:r>
      <w:r w:rsidR="005F2C74" w:rsidRPr="000B70C6">
        <w:t>2).</w:t>
      </w:r>
    </w:p>
    <w:p w14:paraId="34D2C1B8" w14:textId="77777777" w:rsidR="4AF4E4AD" w:rsidRPr="000B70C6" w:rsidRDefault="4AF4E4AD" w:rsidP="54AFCCBD"/>
    <w:p w14:paraId="145E7C20" w14:textId="77777777" w:rsidR="4AF4E4AD" w:rsidRPr="000B70C6" w:rsidRDefault="54AFCCBD" w:rsidP="54AFCCBD">
      <w:pPr>
        <w:pStyle w:val="Newparagraph"/>
      </w:pPr>
      <w:r w:rsidRPr="000B70C6">
        <w:t xml:space="preserve">Finally, both algorithms were used to compute the importance of the features in the predictive models. </w:t>
      </w:r>
      <w:r w:rsidR="005F2C74" w:rsidRPr="000B70C6">
        <w:t xml:space="preserve">In </w:t>
      </w:r>
      <w:r w:rsidRPr="000B70C6">
        <w:t>both methods</w:t>
      </w:r>
      <w:r w:rsidR="005F2C74" w:rsidRPr="000B70C6">
        <w:t>,</w:t>
      </w:r>
      <w:r w:rsidRPr="000B70C6">
        <w:t xml:space="preserve"> the following six features </w:t>
      </w:r>
      <w:r w:rsidR="005F2C74" w:rsidRPr="000B70C6">
        <w:t xml:space="preserve">were </w:t>
      </w:r>
      <w:r w:rsidRPr="000B70C6">
        <w:t>the most importan</w:t>
      </w:r>
      <w:r w:rsidR="00C57F2E" w:rsidRPr="000B70C6">
        <w:t>t</w:t>
      </w:r>
      <w:r w:rsidRPr="000B70C6">
        <w:t xml:space="preserve">: months from the </w:t>
      </w:r>
      <w:r w:rsidR="005F2C74" w:rsidRPr="000B70C6">
        <w:t xml:space="preserve">first </w:t>
      </w:r>
      <w:r w:rsidRPr="000B70C6">
        <w:t>assessment, age, diagnostic group at baseline, WAIS vocabulary score, Peabody test score and number of years of formal schooling</w:t>
      </w:r>
      <w:r w:rsidR="005F2C74" w:rsidRPr="000B70C6">
        <w:t xml:space="preserve"> (Table 4)</w:t>
      </w:r>
      <w:r w:rsidRPr="000B70C6">
        <w:t>.</w:t>
      </w:r>
    </w:p>
    <w:p w14:paraId="07CC87A8" w14:textId="77777777" w:rsidR="4AF4E4AD" w:rsidRDefault="4AF4E4AD" w:rsidP="54AFCCBD">
      <w:pPr>
        <w:spacing w:line="360" w:lineRule="auto"/>
      </w:pPr>
    </w:p>
    <w:p w14:paraId="4C7CFC11" w14:textId="77777777" w:rsidR="00245F51" w:rsidRPr="000B70C6" w:rsidRDefault="00245F51" w:rsidP="00245F51">
      <w:pPr>
        <w:spacing w:line="360" w:lineRule="auto"/>
        <w:jc w:val="center"/>
        <w:rPr>
          <w:rFonts w:ascii="Times New Roman" w:eastAsia="Times New Roman" w:hAnsi="Times New Roman"/>
          <w:b/>
          <w:bCs/>
          <w:color w:val="1C1D1E"/>
        </w:rPr>
      </w:pPr>
      <w:r>
        <w:t>(to insert Table 4 around here)</w:t>
      </w:r>
    </w:p>
    <w:p w14:paraId="71DEEF51" w14:textId="77777777" w:rsidR="4AF4E4AD" w:rsidRPr="000B70C6" w:rsidRDefault="4AF4E4AD" w:rsidP="54AFCCBD">
      <w:pPr>
        <w:spacing w:line="360" w:lineRule="auto"/>
        <w:rPr>
          <w:rFonts w:ascii="Times New Roman" w:eastAsia="Times New Roman" w:hAnsi="Times New Roman"/>
          <w:b/>
          <w:bCs/>
          <w:color w:val="1C1D1E"/>
        </w:rPr>
      </w:pPr>
    </w:p>
    <w:p w14:paraId="108FD9C9" w14:textId="77777777" w:rsidR="002D6D99" w:rsidRPr="000B70C6" w:rsidRDefault="006C7530" w:rsidP="00DC1426">
      <w:pPr>
        <w:pStyle w:val="Ttulo1"/>
        <w:rPr>
          <w:lang w:val="en-GB"/>
        </w:rPr>
      </w:pPr>
      <w:r w:rsidRPr="000B70C6">
        <w:rPr>
          <w:lang w:val="en-GB"/>
        </w:rPr>
        <w:t>Discussion</w:t>
      </w:r>
    </w:p>
    <w:p w14:paraId="79A2A219" w14:textId="77777777" w:rsidR="76E8BC6B" w:rsidRPr="000B70C6" w:rsidRDefault="76E8BC6B" w:rsidP="2DE0E3FA">
      <w:pPr>
        <w:spacing w:line="360" w:lineRule="auto"/>
        <w:rPr>
          <w:rFonts w:ascii="Times New Roman" w:eastAsia="Times New Roman" w:hAnsi="Times New Roman"/>
        </w:rPr>
      </w:pPr>
    </w:p>
    <w:p w14:paraId="6F318E1E" w14:textId="77777777" w:rsidR="003D0DD8" w:rsidRPr="000B70C6" w:rsidRDefault="00C33B72" w:rsidP="002E6C69">
      <w:pPr>
        <w:pStyle w:val="Newparagraph"/>
      </w:pPr>
      <w:r>
        <w:t>I</w:t>
      </w:r>
      <w:r w:rsidRPr="000B70C6">
        <w:t xml:space="preserve">nnovative approaches based on </w:t>
      </w:r>
      <w:r w:rsidR="00476536">
        <w:t>ML</w:t>
      </w:r>
      <w:r w:rsidRPr="000B70C6">
        <w:t xml:space="preserve"> techniques </w:t>
      </w:r>
      <w:r>
        <w:t xml:space="preserve">were used to </w:t>
      </w:r>
      <w:r w:rsidR="005F2C74" w:rsidRPr="000B70C6">
        <w:t>investigate</w:t>
      </w:r>
      <w:r w:rsidR="2DE0E3FA" w:rsidRPr="000B70C6">
        <w:t xml:space="preserve"> the role of </w:t>
      </w:r>
      <w:r w:rsidR="00B76066" w:rsidRPr="000B70C6">
        <w:t>CR</w:t>
      </w:r>
      <w:r w:rsidR="2DE0E3FA" w:rsidRPr="000B70C6">
        <w:t xml:space="preserve"> in conversion from MCI to </w:t>
      </w:r>
      <w:r w:rsidR="00B76066" w:rsidRPr="000B70C6">
        <w:t>dementia</w:t>
      </w:r>
      <w:r w:rsidR="2DE0E3FA" w:rsidRPr="000B70C6">
        <w:t xml:space="preserve">. </w:t>
      </w:r>
      <w:r w:rsidR="005F2C74" w:rsidRPr="000B70C6">
        <w:t xml:space="preserve">In order to predict </w:t>
      </w:r>
      <w:r w:rsidR="004E4699" w:rsidRPr="000B70C6">
        <w:t xml:space="preserve">conversion </w:t>
      </w:r>
      <w:r w:rsidR="2DE0E3FA" w:rsidRPr="000B70C6">
        <w:t>and non-</w:t>
      </w:r>
      <w:r w:rsidR="004E4699" w:rsidRPr="000B70C6">
        <w:t>conversion to dementia</w:t>
      </w:r>
      <w:r w:rsidR="005F2C74" w:rsidRPr="000B70C6">
        <w:t xml:space="preserve">, we applied </w:t>
      </w:r>
      <w:r w:rsidR="2DE0E3FA" w:rsidRPr="000B70C6">
        <w:t xml:space="preserve">ML </w:t>
      </w:r>
      <w:r w:rsidR="004E4699" w:rsidRPr="000B70C6">
        <w:t xml:space="preserve">algorithms </w:t>
      </w:r>
      <w:r w:rsidR="005F2C74" w:rsidRPr="000B70C6">
        <w:t xml:space="preserve">to data from </w:t>
      </w:r>
      <w:r w:rsidR="004E4699" w:rsidRPr="000B70C6">
        <w:t>a sample</w:t>
      </w:r>
      <w:r w:rsidR="2DE0E3FA" w:rsidRPr="000B70C6">
        <w:t xml:space="preserve"> of 169 participants. </w:t>
      </w:r>
      <w:r w:rsidR="002E6C69" w:rsidRPr="000B70C6">
        <w:t>The</w:t>
      </w:r>
      <w:r w:rsidR="00C305E5" w:rsidRPr="000B70C6">
        <w:t xml:space="preserve"> clinical </w:t>
      </w:r>
      <w:r w:rsidR="2DE0E3FA" w:rsidRPr="000B70C6">
        <w:t xml:space="preserve">procedure identified a total of 38 participants </w:t>
      </w:r>
      <w:r w:rsidR="005F2C74" w:rsidRPr="000B70C6">
        <w:t>who converted</w:t>
      </w:r>
      <w:r w:rsidR="2DE0E3FA" w:rsidRPr="000B70C6">
        <w:t xml:space="preserve"> from MCI to </w:t>
      </w:r>
      <w:r w:rsidR="00B76066" w:rsidRPr="000B70C6">
        <w:t>dementia</w:t>
      </w:r>
      <w:r w:rsidR="2DE0E3FA" w:rsidRPr="000B70C6">
        <w:t>.</w:t>
      </w:r>
      <w:r w:rsidR="00C305E5" w:rsidRPr="000B70C6">
        <w:t xml:space="preserve"> </w:t>
      </w:r>
      <w:r w:rsidR="2DE0E3FA" w:rsidRPr="000B70C6">
        <w:t xml:space="preserve">In parallel, we </w:t>
      </w:r>
      <w:r w:rsidR="005F2C74" w:rsidRPr="000B70C6">
        <w:t>used a 10-fold stratified cross validation procedure</w:t>
      </w:r>
      <w:r w:rsidR="2DE0E3FA" w:rsidRPr="000B70C6">
        <w:t xml:space="preserve"> </w:t>
      </w:r>
      <w:r w:rsidR="005F2C74" w:rsidRPr="000B70C6">
        <w:t xml:space="preserve">to analyse </w:t>
      </w:r>
      <w:r w:rsidR="2DE0E3FA" w:rsidRPr="000B70C6">
        <w:t xml:space="preserve">the classification results from </w:t>
      </w:r>
      <w:r w:rsidR="00E770E1" w:rsidRPr="000B70C6">
        <w:t xml:space="preserve">the </w:t>
      </w:r>
      <w:r w:rsidR="2DE0E3FA" w:rsidRPr="000B70C6">
        <w:t xml:space="preserve">nine </w:t>
      </w:r>
      <w:r w:rsidR="00C305E5" w:rsidRPr="000B70C6">
        <w:t>ML</w:t>
      </w:r>
      <w:r w:rsidR="2DE0E3FA" w:rsidRPr="000B70C6">
        <w:t xml:space="preserve"> algorithms. </w:t>
      </w:r>
      <w:r w:rsidR="005F2C74" w:rsidRPr="000B70C6">
        <w:t xml:space="preserve">The best </w:t>
      </w:r>
      <w:r w:rsidR="2DE0E3FA" w:rsidRPr="000B70C6">
        <w:t xml:space="preserve">results </w:t>
      </w:r>
      <w:r w:rsidR="005F2C74" w:rsidRPr="000B70C6">
        <w:t xml:space="preserve">were </w:t>
      </w:r>
      <w:r w:rsidR="2DE0E3FA" w:rsidRPr="000B70C6">
        <w:t xml:space="preserve">obtained </w:t>
      </w:r>
      <w:r w:rsidR="005C6552">
        <w:t xml:space="preserve">with </w:t>
      </w:r>
      <w:r w:rsidR="2DE0E3FA" w:rsidRPr="000B70C6">
        <w:t>ensemble methods</w:t>
      </w:r>
      <w:r w:rsidR="00251F74">
        <w:t xml:space="preserve"> (</w:t>
      </w:r>
      <w:r w:rsidR="00251F74" w:rsidRPr="000B70C6">
        <w:t>Gradient Boosting Classifier</w:t>
      </w:r>
      <w:r w:rsidR="00251F74">
        <w:t xml:space="preserve">, </w:t>
      </w:r>
      <w:r w:rsidR="00251F74" w:rsidRPr="000B70C6">
        <w:t>Random Forest Classifier</w:t>
      </w:r>
      <w:r w:rsidR="00251F74">
        <w:t xml:space="preserve">) </w:t>
      </w:r>
      <w:r w:rsidR="00DA3030" w:rsidRPr="000B70C6">
        <w:t xml:space="preserve">using accuracy as </w:t>
      </w:r>
      <w:r w:rsidR="002E6C69" w:rsidRPr="000B70C6">
        <w:t xml:space="preserve">the </w:t>
      </w:r>
      <w:r w:rsidR="00DA3030" w:rsidRPr="000B70C6">
        <w:t xml:space="preserve">index parameter, </w:t>
      </w:r>
      <w:r w:rsidR="005F2C74" w:rsidRPr="000B70C6">
        <w:t xml:space="preserve">as </w:t>
      </w:r>
      <w:r w:rsidR="005C6552">
        <w:t>this indicates</w:t>
      </w:r>
      <w:r w:rsidR="005C6552" w:rsidRPr="000B70C6">
        <w:t xml:space="preserve"> </w:t>
      </w:r>
      <w:r w:rsidR="00666B2E" w:rsidRPr="000B70C6">
        <w:t xml:space="preserve">how close </w:t>
      </w:r>
      <w:r w:rsidR="005C6552">
        <w:t xml:space="preserve">the value </w:t>
      </w:r>
      <w:r w:rsidR="00666B2E" w:rsidRPr="000B70C6">
        <w:t>is to the true value of the quantity being measured</w:t>
      </w:r>
      <w:r w:rsidR="00DA3030" w:rsidRPr="000B70C6">
        <w:t xml:space="preserve">. </w:t>
      </w:r>
    </w:p>
    <w:p w14:paraId="5B260A9C" w14:textId="77777777" w:rsidR="003D0DD8" w:rsidRPr="000B70C6" w:rsidRDefault="003D0DD8" w:rsidP="002E6C69">
      <w:pPr>
        <w:pStyle w:val="Newparagraph"/>
      </w:pPr>
    </w:p>
    <w:p w14:paraId="5D71EA4C" w14:textId="266F46E4" w:rsidR="00C305E5" w:rsidRPr="000B70C6" w:rsidRDefault="2DE0E3FA" w:rsidP="002E6C69">
      <w:pPr>
        <w:pStyle w:val="Newparagraph"/>
      </w:pPr>
      <w:r w:rsidRPr="000B70C6">
        <w:t>The</w:t>
      </w:r>
      <w:r w:rsidR="005F2C74" w:rsidRPr="000B70C6">
        <w:t xml:space="preserve"> </w:t>
      </w:r>
      <w:r w:rsidRPr="000B70C6">
        <w:t xml:space="preserve">present innovative approach, based on </w:t>
      </w:r>
      <w:r w:rsidR="00C33B72">
        <w:t xml:space="preserve">the application of </w:t>
      </w:r>
      <w:r w:rsidRPr="000B70C6">
        <w:t>ML</w:t>
      </w:r>
      <w:r w:rsidR="0011132B" w:rsidRPr="000B70C6">
        <w:t xml:space="preserve"> </w:t>
      </w:r>
      <w:r w:rsidR="00C33B72">
        <w:t xml:space="preserve">algorithms to </w:t>
      </w:r>
      <w:r w:rsidR="0011132B" w:rsidRPr="000B70C6">
        <w:t>socio-demographic</w:t>
      </w:r>
      <w:r w:rsidR="00C33B72">
        <w:t xml:space="preserve"> data</w:t>
      </w:r>
      <w:r w:rsidR="0011132B" w:rsidRPr="000B70C6">
        <w:t xml:space="preserve">, basic health </w:t>
      </w:r>
      <w:r w:rsidR="00C33B72">
        <w:t xml:space="preserve">status </w:t>
      </w:r>
      <w:r w:rsidR="0011132B" w:rsidRPr="000B70C6">
        <w:t>and CR proxies</w:t>
      </w:r>
      <w:r w:rsidRPr="000B70C6">
        <w:t xml:space="preserve"> </w:t>
      </w:r>
      <w:r w:rsidR="005F2C74" w:rsidRPr="000B70C6">
        <w:t>enable</w:t>
      </w:r>
      <w:r w:rsidR="005C6552">
        <w:t>d</w:t>
      </w:r>
      <w:r w:rsidRPr="000B70C6">
        <w:t xml:space="preserve"> predict</w:t>
      </w:r>
      <w:r w:rsidR="005F2C74" w:rsidRPr="000B70C6">
        <w:t>ion of</w:t>
      </w:r>
      <w:r w:rsidRPr="000B70C6">
        <w:t xml:space="preserve"> conversion </w:t>
      </w:r>
      <w:r w:rsidR="005C44B6" w:rsidRPr="000B70C6">
        <w:t>to dementia</w:t>
      </w:r>
      <w:r w:rsidRPr="000B70C6">
        <w:t xml:space="preserve">, </w:t>
      </w:r>
      <w:r w:rsidR="005C6552">
        <w:t xml:space="preserve">with good </w:t>
      </w:r>
      <w:r w:rsidRPr="000B70C6">
        <w:t xml:space="preserve">precision and sensitivity (i.e. F1 close </w:t>
      </w:r>
      <w:r w:rsidR="005F2C74" w:rsidRPr="000B70C6">
        <w:t xml:space="preserve">to </w:t>
      </w:r>
      <w:r w:rsidRPr="000B70C6">
        <w:t>the maximum value)</w:t>
      </w:r>
      <w:r w:rsidR="00C33B72">
        <w:t>.</w:t>
      </w:r>
      <w:r w:rsidR="005C6552">
        <w:t xml:space="preserve"> </w:t>
      </w:r>
      <w:r w:rsidR="00C33B72">
        <w:t>The</w:t>
      </w:r>
      <w:r w:rsidRPr="000B70C6">
        <w:t xml:space="preserve"> </w:t>
      </w:r>
      <w:r w:rsidR="00C33B72" w:rsidRPr="000B70C6">
        <w:t xml:space="preserve">Gradient Boosting Classifier and Random Forest Classifier algorithms </w:t>
      </w:r>
      <w:r w:rsidR="00C33B72">
        <w:t xml:space="preserve">yielded a high </w:t>
      </w:r>
      <w:r w:rsidRPr="000B70C6">
        <w:t>rate of correct</w:t>
      </w:r>
      <w:r w:rsidR="005C6552">
        <w:t xml:space="preserve"> prediction of</w:t>
      </w:r>
      <w:r w:rsidRPr="000B70C6">
        <w:t xml:space="preserve"> converters and non-converters </w:t>
      </w:r>
      <w:r w:rsidR="005C6552">
        <w:t>(</w:t>
      </w:r>
      <w:r w:rsidR="005C44B6" w:rsidRPr="000B70C6">
        <w:t>accuracy higher than 91% and precision higher than 86%</w:t>
      </w:r>
      <w:r w:rsidR="005C6552">
        <w:t>)</w:t>
      </w:r>
      <w:r w:rsidR="005C44B6" w:rsidRPr="000B70C6">
        <w:t>.</w:t>
      </w:r>
      <w:r w:rsidR="00FC1AF1" w:rsidRPr="000B70C6">
        <w:t xml:space="preserve"> </w:t>
      </w:r>
      <w:r w:rsidR="00806AB0" w:rsidRPr="000B70C6">
        <w:t xml:space="preserve">According </w:t>
      </w:r>
      <w:r w:rsidR="006E06FC" w:rsidRPr="000B70C6">
        <w:t xml:space="preserve">to </w:t>
      </w:r>
      <w:r w:rsidR="005C6552">
        <w:t xml:space="preserve">the individual </w:t>
      </w:r>
      <w:r w:rsidR="00806AB0" w:rsidRPr="000B70C6">
        <w:t>values</w:t>
      </w:r>
      <w:r w:rsidR="00401BE9" w:rsidRPr="000B70C6">
        <w:t xml:space="preserve"> </w:t>
      </w:r>
      <w:r w:rsidR="005C6552">
        <w:t xml:space="preserve">of </w:t>
      </w:r>
      <w:r w:rsidR="006E06FC" w:rsidRPr="000B70C6">
        <w:t xml:space="preserve">the </w:t>
      </w:r>
      <w:r w:rsidR="00401BE9" w:rsidRPr="000B70C6">
        <w:t>metrics used in this study</w:t>
      </w:r>
      <w:r w:rsidR="00806AB0" w:rsidRPr="000B70C6">
        <w:t xml:space="preserve">, </w:t>
      </w:r>
      <w:r w:rsidR="006E06FC" w:rsidRPr="000B70C6">
        <w:t xml:space="preserve">the </w:t>
      </w:r>
      <w:r w:rsidR="00806AB0" w:rsidRPr="000B70C6">
        <w:t xml:space="preserve">precision </w:t>
      </w:r>
      <w:r w:rsidR="006E06FC" w:rsidRPr="000B70C6">
        <w:t xml:space="preserve">was </w:t>
      </w:r>
      <w:r w:rsidR="00806AB0" w:rsidRPr="000B70C6">
        <w:t xml:space="preserve">slightly higher than recall, </w:t>
      </w:r>
      <w:r w:rsidR="00DA3030" w:rsidRPr="000B70C6">
        <w:t xml:space="preserve">which indicates that </w:t>
      </w:r>
      <w:r w:rsidR="006E06FC" w:rsidRPr="000B70C6">
        <w:t xml:space="preserve">the </w:t>
      </w:r>
      <w:r w:rsidR="00DA3030" w:rsidRPr="000B70C6">
        <w:t>true positive rate is slightly higher, taking into account only t</w:t>
      </w:r>
      <w:r w:rsidR="006E06FC" w:rsidRPr="000B70C6">
        <w:t xml:space="preserve">he </w:t>
      </w:r>
      <w:r w:rsidR="00DA3030" w:rsidRPr="000B70C6">
        <w:t>predict</w:t>
      </w:r>
      <w:r w:rsidR="006E06FC" w:rsidRPr="000B70C6">
        <w:t xml:space="preserve">ions of </w:t>
      </w:r>
      <w:r w:rsidR="00DA3030" w:rsidRPr="000B70C6">
        <w:t xml:space="preserve">conversion from MCI to </w:t>
      </w:r>
      <w:r w:rsidR="00B76066" w:rsidRPr="000B70C6">
        <w:t>dementia</w:t>
      </w:r>
      <w:r w:rsidR="00806AB0" w:rsidRPr="000B70C6">
        <w:t>.</w:t>
      </w:r>
      <w:r w:rsidR="00DA3030" w:rsidRPr="000B70C6">
        <w:t xml:space="preserve"> Moreover, t</w:t>
      </w:r>
      <w:r w:rsidRPr="000B70C6">
        <w:t xml:space="preserve">hese results are robust with respect to a random classification according </w:t>
      </w:r>
      <w:r w:rsidR="0008177C">
        <w:t xml:space="preserve">to the </w:t>
      </w:r>
      <w:r w:rsidRPr="000B70C6">
        <w:t>Cohen's kappa obtained, considered almost perfect</w:t>
      </w:r>
      <w:r w:rsidR="006E06FC" w:rsidRPr="000B70C6">
        <w:t>,</w:t>
      </w:r>
      <w:r w:rsidRPr="000B70C6">
        <w:t xml:space="preserve"> with </w:t>
      </w:r>
      <w:r w:rsidR="00C33B72">
        <w:t xml:space="preserve">a </w:t>
      </w:r>
      <w:r w:rsidRPr="000B70C6">
        <w:t xml:space="preserve">value </w:t>
      </w:r>
      <w:r w:rsidR="00C33B72">
        <w:t>above</w:t>
      </w:r>
      <w:r w:rsidR="001358D0" w:rsidRPr="000B70C6">
        <w:t xml:space="preserve"> </w:t>
      </w:r>
      <w:r w:rsidRPr="000B70C6">
        <w:t>0.81</w:t>
      </w:r>
      <w:r w:rsidR="00FC1AF1" w:rsidRPr="000B70C6">
        <w:t xml:space="preserve"> </w:t>
      </w:r>
      <w:r w:rsidR="00156D24" w:rsidRPr="007B7AD4">
        <w:fldChar w:fldCharType="begin" w:fldLock="1"/>
      </w:r>
      <w:r w:rsidR="002D19B0">
        <w:instrText>ADDIN CSL_CITATION {"citationItems":[{"id":"ITEM-1","itemData":{"author":[{"dropping-particle":"","family":"Landis","given":"J Richard","non-dropping-particle":"","parse-names":false,"suffix":""},{"dropping-particle":"","family":"Koch","given":"Gary G","non-dropping-particle":"","parse-names":false,"suffix":""}],"container-title":"biometrics","id":"ITEM-1","issued":{"date-parts":[["1977"]]},"page":"159-174","publisher":"JSTOR","title":"The measurement of observer agreement for categorical data","type":"article-journal","volume":"33"},"uris":["http://www.mendeley.com/documents/?uuid=d00bb342-b265-4ac5-9d12-d4a3e8cfdfba"]}],"mendeley":{"formattedCitation":"&lt;sup&gt;36&lt;/sup&gt;","plainTextFormattedCitation":"36","previouslyFormattedCitation":"(Landis and Koch, 1977)"},"properties":{"noteIndex":0},"schema":"https://github.com/citation-style-language/schema/raw/master/csl-citation.json"}</w:instrText>
      </w:r>
      <w:r w:rsidR="00156D24" w:rsidRPr="007B7AD4">
        <w:fldChar w:fldCharType="separate"/>
      </w:r>
      <w:r w:rsidR="002D19B0" w:rsidRPr="002D19B0">
        <w:rPr>
          <w:noProof/>
          <w:vertAlign w:val="superscript"/>
        </w:rPr>
        <w:t>36</w:t>
      </w:r>
      <w:r w:rsidR="00156D24" w:rsidRPr="007B7AD4">
        <w:fldChar w:fldCharType="end"/>
      </w:r>
      <w:r w:rsidRPr="000B70C6">
        <w:t xml:space="preserve">. Furthermore, both graphical curves computed </w:t>
      </w:r>
      <w:r w:rsidR="006E06FC" w:rsidRPr="000B70C6">
        <w:t>(</w:t>
      </w:r>
      <w:r w:rsidRPr="000B70C6">
        <w:t>precision-recall curve and ROC curve</w:t>
      </w:r>
      <w:r w:rsidR="006E06FC" w:rsidRPr="000B70C6">
        <w:t>)</w:t>
      </w:r>
      <w:r w:rsidRPr="000B70C6">
        <w:t xml:space="preserve"> show </w:t>
      </w:r>
      <w:r w:rsidR="006E06FC" w:rsidRPr="000B70C6">
        <w:t xml:space="preserve">the </w:t>
      </w:r>
      <w:r w:rsidR="00C33B72">
        <w:t>high</w:t>
      </w:r>
      <w:r w:rsidR="006E06FC" w:rsidRPr="000B70C6">
        <w:t xml:space="preserve"> accuracy of </w:t>
      </w:r>
      <w:r w:rsidRPr="000B70C6">
        <w:t>classification.</w:t>
      </w:r>
    </w:p>
    <w:p w14:paraId="76364776" w14:textId="77777777" w:rsidR="00C305E5" w:rsidRPr="000B70C6" w:rsidRDefault="00C305E5" w:rsidP="002E6C69">
      <w:pPr>
        <w:pStyle w:val="Newparagraph"/>
      </w:pPr>
    </w:p>
    <w:p w14:paraId="1B60829D" w14:textId="01A0F2CF" w:rsidR="002E6C69" w:rsidRPr="002D19B0" w:rsidRDefault="008C0AE4" w:rsidP="4420D0C9">
      <w:pPr>
        <w:pStyle w:val="Newparagraph"/>
      </w:pPr>
      <w:r w:rsidRPr="000B70C6">
        <w:t>As</w:t>
      </w:r>
      <w:r w:rsidR="1E98346E" w:rsidRPr="000B70C6">
        <w:t xml:space="preserve"> Gradient Boosting and Random Forest </w:t>
      </w:r>
      <w:r w:rsidR="000F6AE5" w:rsidRPr="000B70C6">
        <w:t xml:space="preserve">algorithms </w:t>
      </w:r>
      <w:r w:rsidRPr="000B70C6">
        <w:t xml:space="preserve">provided </w:t>
      </w:r>
      <w:r w:rsidR="000F6AE5" w:rsidRPr="000B70C6">
        <w:t>the</w:t>
      </w:r>
      <w:r w:rsidR="1E98346E" w:rsidRPr="000B70C6">
        <w:t xml:space="preserve"> best prediction, we computed the ranking of </w:t>
      </w:r>
      <w:r w:rsidR="00B46207" w:rsidRPr="000B70C6">
        <w:t xml:space="preserve">the </w:t>
      </w:r>
      <w:r w:rsidR="1E98346E" w:rsidRPr="000B70C6">
        <w:t>importance</w:t>
      </w:r>
      <w:r w:rsidR="00B46207" w:rsidRPr="000B70C6">
        <w:t xml:space="preserve"> of different </w:t>
      </w:r>
      <w:r w:rsidR="00DF5589">
        <w:t>variables</w:t>
      </w:r>
      <w:r w:rsidR="1E98346E" w:rsidRPr="000B70C6">
        <w:t xml:space="preserve"> </w:t>
      </w:r>
      <w:r w:rsidR="00B46207" w:rsidRPr="000B70C6">
        <w:t xml:space="preserve">for </w:t>
      </w:r>
      <w:r w:rsidR="1E98346E" w:rsidRPr="000B70C6">
        <w:t xml:space="preserve">both. </w:t>
      </w:r>
      <w:r w:rsidR="00B46207" w:rsidRPr="000B70C6">
        <w:t>In both</w:t>
      </w:r>
      <w:r w:rsidR="1E98346E" w:rsidRPr="000B70C6">
        <w:t xml:space="preserve"> methods</w:t>
      </w:r>
      <w:r w:rsidR="00B46207" w:rsidRPr="000B70C6">
        <w:t>,</w:t>
      </w:r>
      <w:r w:rsidR="1E98346E" w:rsidRPr="000B70C6">
        <w:t xml:space="preserve"> a set of six </w:t>
      </w:r>
      <w:r w:rsidR="00DF5589">
        <w:t>variables</w:t>
      </w:r>
      <w:r w:rsidR="00DF5589" w:rsidRPr="000B70C6">
        <w:t xml:space="preserve"> </w:t>
      </w:r>
      <w:r w:rsidR="00B46207" w:rsidRPr="000B70C6">
        <w:t xml:space="preserve">were </w:t>
      </w:r>
      <w:r w:rsidR="1E98346E" w:rsidRPr="000B70C6">
        <w:t xml:space="preserve">the most </w:t>
      </w:r>
      <w:r w:rsidR="00B46207" w:rsidRPr="000B70C6">
        <w:t xml:space="preserve">important for achieving </w:t>
      </w:r>
      <w:r w:rsidR="1E98346E" w:rsidRPr="000B70C6">
        <w:t xml:space="preserve">a good prediction, </w:t>
      </w:r>
      <w:r w:rsidR="00B46207" w:rsidRPr="000B70C6">
        <w:t>i.e.</w:t>
      </w:r>
      <w:r w:rsidR="1E98346E" w:rsidRPr="000B70C6">
        <w:t xml:space="preserve"> months from the </w:t>
      </w:r>
      <w:r w:rsidR="00B46207" w:rsidRPr="000B70C6">
        <w:t xml:space="preserve">first </w:t>
      </w:r>
      <w:r w:rsidR="1E98346E" w:rsidRPr="000B70C6">
        <w:t>assessment, age, diagnostic group at baseline, WAIS vocabulary score, Peabody test score and number of years of formal schooling</w:t>
      </w:r>
      <w:r w:rsidR="00B46207" w:rsidRPr="000B70C6">
        <w:t xml:space="preserve"> we</w:t>
      </w:r>
      <w:r w:rsidR="1E98346E" w:rsidRPr="000B70C6">
        <w:t xml:space="preserve">re the most important input variables </w:t>
      </w:r>
      <w:r w:rsidR="00B46207" w:rsidRPr="000B70C6">
        <w:t xml:space="preserve">for </w:t>
      </w:r>
      <w:r w:rsidR="1E98346E" w:rsidRPr="000B70C6">
        <w:t>detect</w:t>
      </w:r>
      <w:r w:rsidR="00B46207" w:rsidRPr="000B70C6">
        <w:t>ing</w:t>
      </w:r>
      <w:r w:rsidR="1E98346E" w:rsidRPr="000B70C6">
        <w:t xml:space="preserve"> conversion from MCI and AD. Accordingly, two diagnostic variables (the diagnosis itself and the months from the diagnosis to the final follow-up or conversion to dementia), chronological age</w:t>
      </w:r>
      <w:r w:rsidR="00464A80" w:rsidRPr="000B70C6">
        <w:t>,</w:t>
      </w:r>
      <w:r w:rsidR="1E98346E" w:rsidRPr="000B70C6">
        <w:t xml:space="preserve"> and three CR proxies </w:t>
      </w:r>
      <w:r w:rsidR="00B46207" w:rsidRPr="000B70C6">
        <w:t xml:space="preserve">were </w:t>
      </w:r>
      <w:r w:rsidR="1E98346E" w:rsidRPr="000B70C6">
        <w:t xml:space="preserve">the most important </w:t>
      </w:r>
      <w:r w:rsidR="00B46207" w:rsidRPr="000B70C6">
        <w:t xml:space="preserve">for </w:t>
      </w:r>
      <w:r w:rsidR="1E98346E" w:rsidRPr="000B70C6">
        <w:t xml:space="preserve">predicting conversion to dementia using both Gradient Boosting and Random Forest classifiers. </w:t>
      </w:r>
      <w:r w:rsidR="001358D0">
        <w:t>The variables</w:t>
      </w:r>
      <w:r w:rsidR="001358D0" w:rsidRPr="000B70C6">
        <w:t xml:space="preserve"> </w:t>
      </w:r>
      <w:r w:rsidR="000D31B8" w:rsidRPr="000B70C6">
        <w:t xml:space="preserve">years of formal schooling and vocabulary knowledge are </w:t>
      </w:r>
      <w:r w:rsidR="001358D0">
        <w:t>both</w:t>
      </w:r>
      <w:r w:rsidR="001358D0" w:rsidRPr="000B70C6">
        <w:t xml:space="preserve"> </w:t>
      </w:r>
      <w:r w:rsidR="00BC78BF" w:rsidRPr="000B70C6">
        <w:t>related to the level of education</w:t>
      </w:r>
      <w:r w:rsidR="000D31B8" w:rsidRPr="000B70C6">
        <w:t xml:space="preserve">. Other proxies </w:t>
      </w:r>
      <w:r w:rsidR="00BC78BF" w:rsidRPr="000B70C6">
        <w:t>related to the levels of education,</w:t>
      </w:r>
      <w:r w:rsidR="000D31B8" w:rsidRPr="000B70C6">
        <w:t xml:space="preserve"> such as occupational attainment </w:t>
      </w:r>
      <w:r w:rsidR="00B46207" w:rsidRPr="000B70C6">
        <w:t xml:space="preserve">and </w:t>
      </w:r>
      <w:r w:rsidR="000D31B8" w:rsidRPr="000B70C6">
        <w:t>reading habits</w:t>
      </w:r>
      <w:r w:rsidR="001358D0">
        <w:t xml:space="preserve"> (</w:t>
      </w:r>
      <w:r w:rsidR="00B46207" w:rsidRPr="000B70C6">
        <w:t xml:space="preserve">the latter </w:t>
      </w:r>
      <w:r w:rsidR="000D31B8" w:rsidRPr="000B70C6">
        <w:t>only in the Random Forest classifier</w:t>
      </w:r>
      <w:r w:rsidR="001358D0">
        <w:t>)</w:t>
      </w:r>
      <w:r w:rsidR="001358D0" w:rsidRPr="000B70C6">
        <w:t xml:space="preserve"> </w:t>
      </w:r>
      <w:r w:rsidR="000D31B8" w:rsidRPr="000B70C6">
        <w:t xml:space="preserve">also </w:t>
      </w:r>
      <w:r w:rsidR="00B46207" w:rsidRPr="000B70C6">
        <w:t xml:space="preserve">add some </w:t>
      </w:r>
      <w:r w:rsidR="000D31B8" w:rsidRPr="000B70C6">
        <w:t xml:space="preserve">predictive value to the models, although </w:t>
      </w:r>
      <w:r w:rsidR="00B46207" w:rsidRPr="000B70C6">
        <w:t xml:space="preserve">they </w:t>
      </w:r>
      <w:r w:rsidR="000D31B8" w:rsidRPr="000B70C6">
        <w:t xml:space="preserve">are lower in the ranking of </w:t>
      </w:r>
      <w:r w:rsidR="00B46207" w:rsidRPr="000B70C6">
        <w:t>importance</w:t>
      </w:r>
      <w:r w:rsidR="000D31B8" w:rsidRPr="000B70C6">
        <w:t xml:space="preserve">. Variables </w:t>
      </w:r>
      <w:r w:rsidR="00BC78BF" w:rsidRPr="000B70C6">
        <w:t>related to lifestyle</w:t>
      </w:r>
      <w:r w:rsidR="000D31B8" w:rsidRPr="000B70C6">
        <w:t xml:space="preserve">, such as social activities and cultural activities, are also lower in the ranking, and cultural activities </w:t>
      </w:r>
      <w:r w:rsidR="00B46207" w:rsidRPr="000B70C6">
        <w:t xml:space="preserve">are </w:t>
      </w:r>
      <w:r w:rsidR="000D31B8" w:rsidRPr="000B70C6">
        <w:t>only</w:t>
      </w:r>
      <w:r w:rsidR="00B46207" w:rsidRPr="000B70C6">
        <w:t xml:space="preserve"> important</w:t>
      </w:r>
      <w:r w:rsidR="000D31B8" w:rsidRPr="000B70C6">
        <w:t xml:space="preserve"> for the Random Forest classifier. </w:t>
      </w:r>
      <w:r w:rsidR="1963FDC7" w:rsidRPr="000B70C6">
        <w:t xml:space="preserve">These </w:t>
      </w:r>
      <w:r w:rsidR="00B46207" w:rsidRPr="000B70C6">
        <w:t xml:space="preserve">findings </w:t>
      </w:r>
      <w:r w:rsidR="1963FDC7" w:rsidRPr="000B70C6">
        <w:t xml:space="preserve">are consistent with </w:t>
      </w:r>
      <w:r w:rsidR="00B46207" w:rsidRPr="000B70C6">
        <w:t>previously reported findings</w:t>
      </w:r>
      <w:r w:rsidR="1963FDC7" w:rsidRPr="000B70C6">
        <w:t xml:space="preserve">, </w:t>
      </w:r>
      <w:r w:rsidR="00B46207" w:rsidRPr="000B70C6">
        <w:t xml:space="preserve">as </w:t>
      </w:r>
      <w:r w:rsidR="0ECEC3DD" w:rsidRPr="000B70C6">
        <w:t xml:space="preserve">proxies </w:t>
      </w:r>
      <w:r w:rsidR="1963FDC7" w:rsidRPr="000B70C6">
        <w:t>related to educational level, such as years of schooling and level of vocabulary</w:t>
      </w:r>
      <w:r w:rsidR="00B46207" w:rsidRPr="000B70C6">
        <w:t>,</w:t>
      </w:r>
      <w:r w:rsidR="1963FDC7" w:rsidRPr="000B70C6">
        <w:t xml:space="preserve"> have been shown to have greater </w:t>
      </w:r>
      <w:r w:rsidR="00B46207" w:rsidRPr="000B70C6">
        <w:t>loading in</w:t>
      </w:r>
      <w:r w:rsidR="1963FDC7" w:rsidRPr="000B70C6">
        <w:t xml:space="preserve"> the </w:t>
      </w:r>
      <w:r w:rsidR="0ECEC3DD" w:rsidRPr="000B70C6">
        <w:t xml:space="preserve">CR </w:t>
      </w:r>
      <w:r w:rsidR="1963FDC7" w:rsidRPr="000B70C6">
        <w:t>construct and greater predictive value of cognitive impairment</w:t>
      </w:r>
      <w:r w:rsidR="00D95C2E">
        <w:t xml:space="preserve"> than</w:t>
      </w:r>
      <w:r w:rsidR="1963FDC7" w:rsidRPr="000B70C6">
        <w:t xml:space="preserve"> </w:t>
      </w:r>
      <w:r w:rsidR="0ECEC3DD" w:rsidRPr="000B70C6">
        <w:t xml:space="preserve">proxies </w:t>
      </w:r>
      <w:r w:rsidR="1963FDC7" w:rsidRPr="000B70C6">
        <w:t>related to lifestyle, such as social or cultural activities</w:t>
      </w:r>
      <w:r w:rsidR="2DA2E08D" w:rsidRPr="000B70C6">
        <w:t xml:space="preserve">. </w:t>
      </w:r>
      <w:r w:rsidR="00320BAF">
        <w:t>C</w:t>
      </w:r>
      <w:r w:rsidR="2DA2E08D" w:rsidRPr="000B70C6">
        <w:t xml:space="preserve">omplexity in the accurate collection of data </w:t>
      </w:r>
      <w:r w:rsidR="00D95C2E">
        <w:t>on</w:t>
      </w:r>
      <w:r w:rsidR="00D95C2E" w:rsidRPr="000B70C6">
        <w:t xml:space="preserve"> </w:t>
      </w:r>
      <w:r w:rsidR="2DA2E08D" w:rsidRPr="000B70C6">
        <w:t xml:space="preserve">lifestyle CR proxies has been </w:t>
      </w:r>
      <w:r w:rsidR="00B46207" w:rsidRPr="000B70C6">
        <w:t xml:space="preserve">cited </w:t>
      </w:r>
      <w:r w:rsidR="2DA2E08D" w:rsidRPr="000B70C6">
        <w:t xml:space="preserve">as a potential improvement in </w:t>
      </w:r>
      <w:r w:rsidR="00DF5589">
        <w:t>research on</w:t>
      </w:r>
      <w:r w:rsidR="00DF5589" w:rsidRPr="000B70C6">
        <w:t xml:space="preserve"> </w:t>
      </w:r>
      <w:r w:rsidR="2DA2E08D" w:rsidRPr="000B70C6">
        <w:t xml:space="preserve">CR </w:t>
      </w:r>
      <w:r w:rsidR="00156D24" w:rsidRPr="00320BAF">
        <w:fldChar w:fldCharType="begin" w:fldLock="1"/>
      </w:r>
      <w:r w:rsidR="002D19B0">
        <w:instrText>ADDIN CSL_CITATION {"citationItems":[{"id":"ITEM-1","itemData":{"author":[{"dropping-particle":"","family":"Fritsch","given":"Thomas","non-dropping-particle":"","parse-names":false,"suffix":""},{"dropping-particle":"","family":"Smyth","given":"Kathleen A","non-dropping-particle":"","parse-names":false,"suffix":""},{"dropping-particle":"","family":"McClendon","given":"McKee J","non-dropping-particle":"","parse-names":false,"suffix":""},{"dropping-particle":"","family":"Ogrocki","given":"Paula K","non-dropping-particle":"","parse-names":false,"suffix":""},{"dropping-particle":"","family":"Santillan","given":"Concepcion","non-dropping-particle":"","parse-names":false,"suffix":""},{"dropping-particle":"","family":"Larsen","given":"Janet D","non-dropping-particle":"","parse-names":false,"suffix":""},{"dropping-particle":"","family":"Strauss","given":"Milton E","non-dropping-particle":"","parse-names":false,"suffix":""}],"container-title":"Journal of the American Geriatrics Society","id":"ITEM-1","issue":"7","issued":{"date-parts":[["2005"]]},"page":"1191-1196","publisher":"Wiley Online Library","title":"Associations between dementia/mild cognitive impairment and cognitive performance and activity levels in youth","type":"article-journal","volume":"53"},"uris":["http://www.mendeley.com/documents/?uuid=db54ea9e-8fa3-4423-9db1-44ab24317bc6"]},{"id":"ITEM-2","itemData":{"DOI":"10.1093/arclin/acu007","ISBN":"0887-6177","ISSN":"0887-6177","abstract":"Cognitive reserve (CR) is often operationally defined as a complex structure of latent variables. Here, we present a structural model that analyzes the effect of CR on three cognitive domains: episodic memory, working memory, and general cognitive performance. We developed and analyzed a structural equation model (SEM) to study CR and cognitive performance in 326 participants over 50 years old with subjective memory complaints. The CR construct was found to consist of two factors: (a) educational level and (b) lifestyle. The model revealed that CR had significant direct effects on episodic memory, working memory, and general cognitive performance, and indirect effects on episodic memory via working memory. As a latent construct, CR is related to cognitive performance in participants over 50 years with subjective memory complaints, and it should therefore be considered in the evaluation and diagnosis of such people.","author":[{"dropping-particle":"","family":"Lojo-Seoane","given":"C.","non-dropping-particle":"","parse-names":false,"suffix":""},{"dropping-particle":"","family":"Facal","given":"D.","non-dropping-particle":"","parse-names":false,"suffix":""},{"dropping-particle":"","family":"Guardia-Olmos","given":"J.","non-dropping-particle":"","parse-names":false,"suffix":""},{"dropping-particle":"","family":"Juncos-Rabadan","given":"O.","non-dropping-particle":"","parse-names":false,"suffix":""}],"container-title":"Archives of Clinical Neuropsychology","id":"ITEM-2","issue":"3","issued":{"date-parts":[["2014"]]},"page":"245-255","title":"Structural Model for Estimating the Influence of Cognitive Reserve on Cognitive Performance in Adults with Subjective Memory Complaints","type":"article-journal","volume":"29"},"uris":["http://www.mendeley.com/documents/?uuid=69fc2d0c-dfb1-458b-8c40-6f8ec51ddbed"]},{"id":"ITEM-3","itemData":{"author":[{"dropping-particle":"","family":"Juncos-Rabadán","given":"Onésimo","non-dropping-particle":"","parse-names":false,"suffix":""},{"dropping-particle":"","family":"Pereiro","given":"Arturo X","non-dropping-particle":"","parse-names":false,"suffix":""},{"dropping-particle":"","family":"Facal","given":"David","non-dropping-particle":"","parse-names":false,"suffix":""},{"dropping-particle":"","family":"Reboredo","given":"Alba","non-dropping-particle":"","parse-names":false,"suffix":""},{"dropping-particle":"","family":"Lojo-Seoane","given":"Cristina","non-dropping-particle":"","parse-names":false,"suffix":""}],"container-title":"International journal of geriatric psychiatry","id":"ITEM-3","issue":"6","issued":{"date-parts":[["2014"]]},"page":"602-609","publisher":"Wiley Online Library","title":"Do the Cambridge Neuropsychological Test Automated Battery episodic memory measures discriminate amnestic mild cognitive impairment?","type":"article-journal","volume":"29"},"uris":["http://www.mendeley.com/documents/?uuid=7e7b8cb2-8fdd-4378-b3dd-649bf37167e5"]},{"id":"ITEM-4","itemData":{"author":[{"dropping-particle":"","family":"Solé-Padullés","given":"Cristina","non-dropping-particle":"","parse-names":false,"suffix":""},{"dropping-particle":"","family":"Bartrés-Faz","given":"David","non-dropping-particle":"","parse-names":false,"suffix":""},{"dropping-particle":"","family":"Junqué","given":"Carme","non-dropping-particle":"","parse-names":false,"suffix":""},{"dropping-particle":"","family":"Vendrell","given":"Pere","non-dropping-particle":"","parse-names":false,"suffix":""},{"dropping-particle":"","family":"Rami","given":"Lorena","non-dropping-particle":"","parse-names":false,"suffix":""},{"dropping-particle":"","family":"Clemente","given":"Imma C","non-dropping-particle":"","parse-names":false,"suffix":""},{"dropping-particle":"","family":"Bosch","given":"Beatriu","non-dropping-particle":"","parse-names":false,"suffix":""},{"dropping-particle":"","family":"Villar","given":"Amparo","non-dropping-particle":"","parse-names":false,"suffix":""},{"dropping-particle":"","family":"Bargalló","given":"Núria","non-dropping-particle":"","parse-names":false,"suffix":""},{"dropping-particle":"","family":"Jurado","given":"M Angeles","non-dropping-particle":"","parse-names":false,"suffix":""},{"dropping-particle":"","family":"others","given":"","non-dropping-particle":"","parse-names":false,"suffix":""}],"container-title":"Neurobiology of aging","id":"ITEM-4","issue":"7","issued":{"date-parts":[["2009"]]},"page":"1114-1124","publisher":"Elsevier","title":"Brain structure and function related to cognitive reserve variables in normal aging, mild cognitive impairment and Alzheimer's disease","type":"article-journal","volume":"30"},"uris":["http://www.mendeley.com/documents/?uuid=53802644-fcb2-4ac8-bf86-b477246ce858"]}],"mendeley":{"formattedCitation":"&lt;sup&gt;9,37–39&lt;/sup&gt;","plainTextFormattedCitation":"9,37–39","previouslyFormattedCitation":"(Fritsch et al., 2005; Lojo-Seoane et al., 2014; Juncos-Rabadán et al., 2014; Solé-Padullés et al., 2009)"},"properties":{"noteIndex":0},"schema":"https://github.com/citation-style-language/schema/raw/master/csl-citation.json"}</w:instrText>
      </w:r>
      <w:r w:rsidR="00156D24" w:rsidRPr="00320BAF">
        <w:fldChar w:fldCharType="separate"/>
      </w:r>
      <w:r w:rsidR="002D19B0" w:rsidRPr="002D19B0">
        <w:rPr>
          <w:noProof/>
          <w:vertAlign w:val="superscript"/>
        </w:rPr>
        <w:t>9,37–39</w:t>
      </w:r>
      <w:r w:rsidR="00156D24" w:rsidRPr="00320BAF">
        <w:fldChar w:fldCharType="end"/>
      </w:r>
      <w:r w:rsidR="407B636D" w:rsidRPr="002D19B0">
        <w:t>.</w:t>
      </w:r>
      <w:r w:rsidR="3C6A0A7A" w:rsidRPr="002D19B0">
        <w:t xml:space="preserve"> </w:t>
      </w:r>
    </w:p>
    <w:p w14:paraId="607F878B" w14:textId="77777777" w:rsidR="00245F51" w:rsidRPr="002D19B0" w:rsidDel="77B06E3A" w:rsidRDefault="00245F51" w:rsidP="4420D0C9">
      <w:pPr>
        <w:pStyle w:val="Newparagraph"/>
      </w:pPr>
    </w:p>
    <w:p w14:paraId="177FB66A" w14:textId="6C65F675" w:rsidR="76E8BC6B" w:rsidRPr="000B70C6" w:rsidRDefault="00B46207" w:rsidP="2DA2E08D">
      <w:pPr>
        <w:pStyle w:val="Newparagraph"/>
      </w:pPr>
      <w:r w:rsidRPr="000B70C6">
        <w:t>The findings</w:t>
      </w:r>
      <w:r w:rsidR="1E98346E" w:rsidRPr="000B70C6">
        <w:t xml:space="preserve"> </w:t>
      </w:r>
      <w:r w:rsidR="00D95C2E">
        <w:t xml:space="preserve">obtained </w:t>
      </w:r>
      <w:r w:rsidR="1E98346E" w:rsidRPr="000B70C6">
        <w:t xml:space="preserve">using ML techniques </w:t>
      </w:r>
      <w:r w:rsidRPr="000B70C6">
        <w:t xml:space="preserve">corroborated </w:t>
      </w:r>
      <w:r w:rsidR="1E98346E" w:rsidRPr="000B70C6">
        <w:t xml:space="preserve">the protective role of CR </w:t>
      </w:r>
      <w:r w:rsidRPr="000B70C6">
        <w:t>previously reported in relation to</w:t>
      </w:r>
      <w:r w:rsidR="1E98346E" w:rsidRPr="000B70C6">
        <w:t xml:space="preserve"> </w:t>
      </w:r>
      <w:r w:rsidRPr="000B70C6">
        <w:t xml:space="preserve">the aforementioned </w:t>
      </w:r>
      <w:r w:rsidR="1E98346E" w:rsidRPr="000B70C6">
        <w:t>proxies</w:t>
      </w:r>
      <w:r w:rsidR="009C46F6" w:rsidRPr="000B70C6">
        <w:t xml:space="preserve"> </w:t>
      </w:r>
      <w:r w:rsidR="00156D24" w:rsidRPr="00320BAF">
        <w:fldChar w:fldCharType="begin" w:fldLock="1"/>
      </w:r>
      <w:r w:rsidR="002D19B0">
        <w:instrText>ADDIN CSL_CITATION {"citationItems":[{"id":"ITEM-1","itemData":{"author":[{"dropping-particle":"","family":"Ferreira","given":"Daniel","non-dropping-particle":"","parse-names":false,"suffix":""},{"dropping-particle":"","family":"Bartrés-Faz","given":"David","non-dropping-particle":"","parse-names":false,"suffix":""},{"dropping-particle":"","family":"Nygren","given":"Linn","non-dropping-particle":"","parse-names":false,"suffix":""},{"dropping-particle":"","family":"Rundkvist","given":"Leigh J","non-dropping-particle":"","parse-names":false,"suffix":""},{"dropping-particle":"","family":"Molina","given":"Yaiza","non-dropping-particle":"","parse-names":false,"suffix":""},{"dropping-particle":"","family":"Machado","given":"Alejandra","non-dropping-particle":"","parse-names":false,"suffix":""},{"dropping-particle":"","family":"Junqué","given":"Carme","non-dropping-particle":"","parse-names":false,"suffix":""},{"dropping-particle":"","family":"Barroso","given":"José","non-dropping-particle":"","parse-names":false,"suffix":""},{"dropping-particle":"","family":"Westman","given":"Eric","non-dropping-particle":"","parse-names":false,"suffix":""}],"container-title":"Behavioural brain research","id":"ITEM-1","issued":{"date-parts":[["2016"]]},"page":"375-383","publisher":"Elsevier","title":"Different reserve proxies confer overlapping and unique endurance to cortical thinning in healthy middle-aged adults","type":"article-journal","volume":"311"},"uris":["http://www.mendeley.com/documents/?uuid=fa43b5a9-58b1-4da6-8ef1-c79a0a0081a2"]},{"id":"ITEM-2","itemData":{"DOI":"10.1016/j.neuropsychologia.2009.03.004","ISBN":"1873-3514 (Electronic)","ISSN":"00283932","PMID":"19467352","abstract":"The concept of reserve has been proposed to account for the disjunction between the degree of brain damage and its clinical outcome. This paper attempts to produce a coherent theoretical account the reserve in general and of cognitive reserve in particular. It reviews epidemiologic data supporting the concept of cognitive reserve, with a particular focus of its implications for aging and dementia. It then focuses on methodologic issues that are important when attempting to elucidate the neural underpinnings of cognitive reserve using imaging studies, and reviews some of our group's work in order to demonstrate these issues. © 2009 Elsevier Ltd. All rights reserved.","author":[{"dropping-particle":"","family":"Stern","given":"Yaakov","non-dropping-particle":"","parse-names":false,"suffix":""}],"container-title":"Neuropsychologia","id":"ITEM-2","issue":"10","issued":{"date-parts":[["2009"]]},"page":"2015-2028","title":"Cognitive reserve","type":"article-journal","volume":"47"},"uris":["http://www.mendeley.com/documents/?uuid=a8ab21d0-692a-4b58-93a0-1daf18556927"]},{"id":"ITEM-3","itemData":{"author":[{"dropping-particle":"","family":"Lojo-Seoane","given":"Cristina","non-dropping-particle":"","parse-names":false,"suffix":""},{"dropping-particle":"","family":"Facal","given":"David","non-dropping-particle":"","parse-names":false,"suffix":""},{"dropping-particle":"","family":"GUÀRDIA-OLMOS","given":"JOAN","non-dropping-particle":"","parse-names":false,"suffix":""},{"dropping-particle":"","family":"Pereiro","given":"Arturo","non-dropping-particle":"","parse-names":false,"suffix":""},{"dropping-particle":"","family":"Juncos-Rabadán","given":"Onésimo","non-dropping-particle":"","parse-names":false,"suffix":""}],"container-title":"Frontiers in Aging Neuroscience","id":"ITEM-3","issued":{"date-parts":[["2018"]]},"page":"189","publisher":"Frontiers","title":"Effects of Cognitive Reserve on Cognitive Performance in a Follow-up Study in Older Adults with Subjective Cognitive Complaints. The role of Working Memory.","type":"article-journal","volume":"10"},"uris":["http://www.mendeley.com/documents/?uuid=2677283f-06be-4b75-89c5-a3cca98c9fd3"]},{"id":"ITEM-4","itemData":{"DOI":"http://dx.doi.org/10.1016/j.neurobiolaging.2014.10.010","ISBN":"1558-1497","ISSN":"15581497","PMID":"25433459","abstract":"This study investigates how cognitive reserve (CR) interacts with neurodegeneration (quantified by medial temporal atrophy, MTA) and macroscopic white matter lesions (WMLs) in delaying the conversion from amnestic mild cognitive impairment to Alzheimer's disease (AD). Forty-two amnestic mild cognitive impairment patients were consecutively recruited. They underwent magnetic resonance imaging and a comprehensive questionnaire to classify them as individuals with low or high CR. Patients were then clinically followed-up for 2 years. The patients' risk for conversion to AD because of CR was estimated by controlling for cognitive efficiency, MTA, and WMLs at baseline. Global cognition was the best predictor of conversion to AD in low CR patients. Conversely, in high CR patients only, WMLs (but not MTA) highly contributed in increasing the risk for conversion to AD. In conclusion, CR interacts with both patients' cognitive features and WMLs in modulating the impact of AD pathology. This seems relevant for clinical prognosis and therapeutic strategies.Copyright © 2015 Elsevier Inc. All rights reserved.","author":[{"dropping-particle":"","family":"Serra","given":"L","non-dropping-particle":"","parse-names":false,"suffix":""},{"dropping-particle":"","family":"Musicco","given":"M","non-dropping-particle":"","parse-names":false,"suffix":""},{"dropping-particle":"","family":"Cercignani","given":"M","non-dropping-particle":"","parse-names":false,"suffix":""},{"dropping-particle":"","family":"Torso","given":"M","non-dropping-particle":"","parse-names":false,"suffix":""},{"dropping-particle":"","family":"Spano","given":"B","non-dropping-particle":"","parse-names":false,"suffix":""},{"dropping-particle":"","family":"Mastropasqua","given":"C","non-dropping-particle":"","parse-names":false,"suffix":""},{"dropping-particle":"","family":"Giulietti","given":"G","non-dropping-particle":"","parse-names":false,"suffix":""},{"dropping-particle":"","family":"Marra","given":"C","non-dropping-particle":"","parse-names":false,"suffix":""},{"dropping-particle":"","family":"Bruno","given":"G","non-dropping-particle":"","parse-names":false,"suffix":""},{"dropping-particle":"","family":"Koch","given":"G","non-dropping-particle":"","parse-names":false,"suffix":""},{"dropping-particle":"","family":"Caltagirone","given":"C","non-dropping-particle":"","parse-names":false,"suffix":""},{"dropping-particle":"","family":"Bozzali","given":"M","non-dropping-particle":"","parse-names":false,"suffix":""}],"container-title":"Neurobiology of Aging","id":"ITEM-4","issue":"2","issued":{"date-parts":[["2015"]]},"page":"592-600","title":"Cognitive reserve and the risk for Alzheimer's disease: a longitudinal study","type":"article-journal","volume":"36"},"uris":["http://www.mendeley.com/documents/?uuid=36b21004-716c-4565-b976-c0d4fe896c86"]}],"mendeley":{"formattedCitation":"&lt;sup&gt;6,10,11,13&lt;/sup&gt;","plainTextFormattedCitation":"6,10,11,13","previouslyFormattedCitation":"(Ferreira et al., 2016; Stern, 2009; Lojo-Seoane et al., 2018; Serra et al., 2015)"},"properties":{"noteIndex":0},"schema":"https://github.com/citation-style-language/schema/raw/master/csl-citation.json"}</w:instrText>
      </w:r>
      <w:r w:rsidR="00156D24" w:rsidRPr="00320BAF">
        <w:fldChar w:fldCharType="separate"/>
      </w:r>
      <w:r w:rsidR="002D19B0" w:rsidRPr="002D19B0">
        <w:rPr>
          <w:noProof/>
          <w:vertAlign w:val="superscript"/>
        </w:rPr>
        <w:t>6,10,11,13</w:t>
      </w:r>
      <w:r w:rsidR="00156D24" w:rsidRPr="00320BAF">
        <w:fldChar w:fldCharType="end"/>
      </w:r>
      <w:r w:rsidR="00156D24" w:rsidRPr="002D19B0">
        <w:t xml:space="preserve">. </w:t>
      </w:r>
      <w:r w:rsidRPr="000B70C6">
        <w:t xml:space="preserve">In </w:t>
      </w:r>
      <w:r w:rsidR="000D31B8" w:rsidRPr="000B70C6">
        <w:t xml:space="preserve">a follow-up study </w:t>
      </w:r>
      <w:r w:rsidRPr="000B70C6">
        <w:t xml:space="preserve">with </w:t>
      </w:r>
      <w:r w:rsidR="000D31B8" w:rsidRPr="000B70C6">
        <w:t xml:space="preserve">a time lapse of around 18 months, </w:t>
      </w:r>
      <w:r w:rsidRPr="000B70C6">
        <w:t xml:space="preserve">Lojo-Seoane et al. (2018) </w:t>
      </w:r>
      <w:r w:rsidR="000D31B8" w:rsidRPr="000B70C6">
        <w:t xml:space="preserve">observed </w:t>
      </w:r>
      <w:r w:rsidR="00614EA8" w:rsidRPr="000B70C6">
        <w:t>that CR had</w:t>
      </w:r>
      <w:r w:rsidR="000D31B8" w:rsidRPr="000B70C6">
        <w:t xml:space="preserve"> direct</w:t>
      </w:r>
      <w:r w:rsidR="00614EA8" w:rsidRPr="000B70C6">
        <w:t xml:space="preserve"> effect</w:t>
      </w:r>
      <w:r w:rsidR="000D31B8" w:rsidRPr="000B70C6">
        <w:t>s</w:t>
      </w:r>
      <w:r w:rsidR="00614EA8" w:rsidRPr="000B70C6">
        <w:t xml:space="preserve"> on episodic memory and </w:t>
      </w:r>
      <w:r w:rsidR="000D31B8" w:rsidRPr="000B70C6">
        <w:t xml:space="preserve">general cognitive performance, and </w:t>
      </w:r>
      <w:r w:rsidR="00614EA8" w:rsidRPr="000B70C6">
        <w:t xml:space="preserve">that </w:t>
      </w:r>
      <w:r w:rsidR="00D05C58" w:rsidRPr="000B70C6">
        <w:t>it also</w:t>
      </w:r>
      <w:r w:rsidR="00614EA8" w:rsidRPr="000B70C6">
        <w:t xml:space="preserve"> </w:t>
      </w:r>
      <w:r w:rsidR="00D95C2E" w:rsidRPr="000B70C6">
        <w:t>influence</w:t>
      </w:r>
      <w:r w:rsidR="00D95C2E">
        <w:t>d</w:t>
      </w:r>
      <w:r w:rsidR="00D95C2E" w:rsidRPr="000B70C6">
        <w:t xml:space="preserve"> </w:t>
      </w:r>
      <w:r w:rsidR="00614EA8" w:rsidRPr="000B70C6">
        <w:t xml:space="preserve">episodic memory and general cognitive performance, both </w:t>
      </w:r>
      <w:r w:rsidRPr="000B70C6">
        <w:t xml:space="preserve">at </w:t>
      </w:r>
      <w:r w:rsidR="00614EA8" w:rsidRPr="000B70C6">
        <w:t xml:space="preserve">baseline and follow-up, through the </w:t>
      </w:r>
      <w:r w:rsidR="00D05C58" w:rsidRPr="000B70C6">
        <w:t xml:space="preserve">availability of processing resource measures </w:t>
      </w:r>
      <w:r w:rsidR="00DF5589">
        <w:t xml:space="preserve">in </w:t>
      </w:r>
      <w:r w:rsidR="00614EA8" w:rsidRPr="000B70C6">
        <w:t>working memory</w:t>
      </w:r>
      <w:r w:rsidR="00D05C58" w:rsidRPr="000B70C6">
        <w:t xml:space="preserve"> tasks</w:t>
      </w:r>
      <w:r w:rsidR="00614EA8" w:rsidRPr="000B70C6">
        <w:t>.</w:t>
      </w:r>
      <w:r w:rsidR="00114078" w:rsidRPr="000B70C6">
        <w:t xml:space="preserve"> </w:t>
      </w:r>
      <w:r w:rsidR="00614EA8" w:rsidRPr="000B70C6">
        <w:t xml:space="preserve">Serra et al. (2015) </w:t>
      </w:r>
      <w:r w:rsidRPr="000B70C6">
        <w:t xml:space="preserve">examined </w:t>
      </w:r>
      <w:r w:rsidR="00614EA8" w:rsidRPr="000B70C6">
        <w:t>how CR modulate</w:t>
      </w:r>
      <w:r w:rsidRPr="000B70C6">
        <w:t>s</w:t>
      </w:r>
      <w:r w:rsidR="00614EA8" w:rsidRPr="000B70C6">
        <w:t xml:space="preserve"> the rate of conversion from </w:t>
      </w:r>
      <w:r w:rsidR="00D05C58" w:rsidRPr="000B70C6">
        <w:t>aMCI</w:t>
      </w:r>
      <w:r w:rsidR="00614EA8" w:rsidRPr="000B70C6">
        <w:t xml:space="preserve"> to </w:t>
      </w:r>
      <w:r w:rsidR="00742B5E" w:rsidRPr="000B70C6">
        <w:t>AD</w:t>
      </w:r>
      <w:r w:rsidR="00614EA8" w:rsidRPr="000B70C6">
        <w:t xml:space="preserve"> in a sample of 42 participants followed-up for 2 years. </w:t>
      </w:r>
      <w:r w:rsidRPr="000B70C6">
        <w:t xml:space="preserve">These researchers </w:t>
      </w:r>
      <w:r w:rsidR="00D05C58" w:rsidRPr="000B70C6">
        <w:t xml:space="preserve">obtained a global enrichment index as a total score proxy of CR. </w:t>
      </w:r>
      <w:r w:rsidR="00614EA8" w:rsidRPr="000B70C6">
        <w:t xml:space="preserve">They observed that participants with high CR survived longer without developing AD. </w:t>
      </w:r>
      <w:r w:rsidR="1E98346E" w:rsidRPr="000B70C6">
        <w:t xml:space="preserve">These </w:t>
      </w:r>
      <w:r w:rsidRPr="000B70C6">
        <w:t>findings are consistent</w:t>
      </w:r>
      <w:r w:rsidR="1E98346E" w:rsidRPr="000B70C6">
        <w:t xml:space="preserve"> with the CR hypothesis</w:t>
      </w:r>
      <w:r w:rsidR="00873490" w:rsidRPr="000B70C6">
        <w:t xml:space="preserve"> </w:t>
      </w:r>
      <w:r w:rsidR="00156D24" w:rsidRPr="00320BAF">
        <w:fldChar w:fldCharType="begin" w:fldLock="1"/>
      </w:r>
      <w:r w:rsidR="002D19B0">
        <w:instrText>ADDIN CSL_CITATION {"citationItems":[{"id":"ITEM-1","itemData":{"DOI":"10.1016/j.neuropsychologia.2009.03.004","ISBN":"1873-3514 (Electronic)","ISSN":"00283932","PMID":"19467352","abstract":"The concept of reserve has been proposed to account for the disjunction between the degree of brain damage and its clinical outcome. This paper attempts to produce a coherent theoretical account the reserve in general and of cognitive reserve in particular. It reviews epidemiologic data supporting the concept of cognitive reserve, with a particular focus of its implications for aging and dementia. It then focuses on methodologic issues that are important when attempting to elucidate the neural underpinnings of cognitive reserve using imaging studies, and reviews some of our group's work in order to demonstrate these issues. © 2009 Elsevier Ltd. All rights reserved.","author":[{"dropping-particle":"","family":"Stern","given":"Yaakov","non-dropping-particle":"","parse-names":false,"suffix":""}],"container-title":"Neuropsychologia","id":"ITEM-1","issue":"10","issued":{"date-parts":[["2009"]]},"page":"2015-2028","title":"Cognitive reserve","type":"article-journal","volume":"47"},"uris":["http://www.mendeley.com/documents/?uuid=a8ab21d0-692a-4b58-93a0-1daf18556927"]}],"mendeley":{"formattedCitation":"&lt;sup&gt;10&lt;/sup&gt;","plainTextFormattedCitation":"10","previouslyFormattedCitation":"(Stern, 2009)"},"properties":{"noteIndex":0},"schema":"https://github.com/citation-style-language/schema/raw/master/csl-citation.json"}</w:instrText>
      </w:r>
      <w:r w:rsidR="00156D24" w:rsidRPr="00320BAF">
        <w:fldChar w:fldCharType="separate"/>
      </w:r>
      <w:r w:rsidR="002D19B0" w:rsidRPr="002D19B0">
        <w:rPr>
          <w:noProof/>
          <w:vertAlign w:val="superscript"/>
        </w:rPr>
        <w:t>10</w:t>
      </w:r>
      <w:r w:rsidR="00156D24" w:rsidRPr="00320BAF">
        <w:fldChar w:fldCharType="end"/>
      </w:r>
      <w:r w:rsidR="1E98346E" w:rsidRPr="000B70C6">
        <w:t xml:space="preserve"> and support the role of CR as a mediator of conversion to dementia.</w:t>
      </w:r>
      <w:r w:rsidR="00614EA8" w:rsidRPr="000B70C6">
        <w:t xml:space="preserve"> </w:t>
      </w:r>
    </w:p>
    <w:p w14:paraId="1985CEF6" w14:textId="77777777" w:rsidR="00A55E56" w:rsidRPr="000B70C6" w:rsidRDefault="00A55E56" w:rsidP="000D31B8">
      <w:pPr>
        <w:pStyle w:val="Newparagraph"/>
      </w:pPr>
    </w:p>
    <w:p w14:paraId="3D616DA9" w14:textId="6D4D2598" w:rsidR="1E98346E" w:rsidRPr="000B70C6" w:rsidRDefault="00464A80" w:rsidP="00D05C58">
      <w:pPr>
        <w:pStyle w:val="Newparagraph"/>
      </w:pPr>
      <w:r w:rsidRPr="000B70C6">
        <w:t xml:space="preserve">This study </w:t>
      </w:r>
      <w:r w:rsidR="00B46207" w:rsidRPr="000B70C6">
        <w:t>has some</w:t>
      </w:r>
      <w:r w:rsidRPr="000B70C6">
        <w:t xml:space="preserve"> limitations. A</w:t>
      </w:r>
      <w:r w:rsidR="1E98346E" w:rsidRPr="000B70C6">
        <w:t xml:space="preserve">lthough ML techniques are widely used in </w:t>
      </w:r>
      <w:r w:rsidR="00D05C58" w:rsidRPr="000B70C6">
        <w:t xml:space="preserve">different </w:t>
      </w:r>
      <w:r w:rsidRPr="000B70C6">
        <w:t>health</w:t>
      </w:r>
      <w:r w:rsidR="1E98346E" w:rsidRPr="000B70C6">
        <w:t xml:space="preserve"> field</w:t>
      </w:r>
      <w:r w:rsidR="00D05C58" w:rsidRPr="000B70C6">
        <w:t>s</w:t>
      </w:r>
      <w:r w:rsidR="1E98346E" w:rsidRPr="000B70C6">
        <w:t>, their use in studies of cognitive aging and cognitive impairment</w:t>
      </w:r>
      <w:r w:rsidR="00B46207" w:rsidRPr="000B70C6">
        <w:t xml:space="preserve"> is </w:t>
      </w:r>
      <w:r w:rsidRPr="000B70C6">
        <w:t>relatively</w:t>
      </w:r>
      <w:r w:rsidR="1E98346E" w:rsidRPr="000B70C6">
        <w:t xml:space="preserve"> </w:t>
      </w:r>
      <w:r w:rsidR="00B46207" w:rsidRPr="000B70C6">
        <w:t xml:space="preserve">new </w:t>
      </w:r>
      <w:r w:rsidR="00156D24" w:rsidRPr="00320BAF">
        <w:fldChar w:fldCharType="begin" w:fldLock="1"/>
      </w:r>
      <w:r w:rsidR="002D19B0">
        <w:instrText>ADDIN CSL_CITATION {"citationItems":[{"id":"ITEM-1","itemData":{"author":[{"dropping-particle":"","family":"Maroco","given":"João","non-dropping-particle":"","parse-names":false,"suffix":""},{"dropping-particle":"","family":"Silva","given":"Dina","non-dropping-particle":"","parse-names":false,"suffix":""},{"dropping-particle":"","family":"Rodrigues","given":"Ana","non-dropping-particle":"","parse-names":false,"suffix":""},{"dropping-particle":"","family":"Guerreiro","given":"Manuela","non-dropping-particle":"","parse-names":false,"suffix":""},{"dropping-particle":"","family":"Santana","given":"Isabel","non-dropping-particle":"","parse-names":false,"suffix":""},{"dropping-particle":"","family":"Mendonça","given":"Alexandre","non-dropping-particle":"de","parse-names":false,"suffix":""}],"container-title":"BMC research notes","id":"ITEM-1","issue":"1","issued":{"date-parts":[["2011"]]},"page":"299","publisher":"BioMed Central Ltd","title":"Data mining methods in the prediction of Dementia: A real-data comparison of the accuracy, sensitivity and specificity of linear discriminant analysis, logistic regression, neural networks, support vector machines, classification trees and random forests","type":"article-journal","volume":"4"},"uris":["http://www.mendeley.com/documents/?uuid=44b50a5a-c890-4350-80e5-67eb212a24a2"]},{"id":"ITEM-2","itemData":{"author":[{"dropping-particle":"","family":"Lehmann","given":"Christoph","non-dropping-particle":"","parse-names":false,"suffix":""},{"dropping-particle":"","family":"Koenig","given":"Thomas","non-dropping-particle":"","parse-names":false,"suffix":""},{"dropping-particle":"","family":"Jelic","given":"Vesna","non-dropping-particle":"","parse-names":false,"suffix":""},{"dropping-particle":"","family":"Prichep","given":"Leslie","non-dropping-particle":"","parse-names":false,"suffix":""},{"dropping-particle":"","family":"John","given":"Roy E","non-dropping-particle":"","parse-names":false,"suffix":""},{"dropping-particle":"","family":"Wahlund","given":"Lars-Olof","non-dropping-particle":"","parse-names":false,"suffix":""},{"dropping-particle":"","family":"Dodge","given":"Yadolah","non-dropping-particle":"","parse-names":false,"suffix":""},{"dropping-particle":"","family":"Dierks","given":"Thomas","non-dropping-particle":"","parse-names":false,"suffix":""}],"container-title":"Journal of neuroscience methods","id":"ITEM-2","issue":"2","issued":{"date-parts":[["2007"]]},"page":"342-350","publisher":"Elsevier","title":"Application and comparison of classification algorithms for recognition of Alzheimer's disease in electrical brain activity (EEG)","type":"article-journal","volume":"161"},"uris":["http://www.mendeley.com/documents/?uuid=66260418-f2d8-4468-aec3-bf8ad105aa8d"]},{"id":"ITEM-3","itemData":{"author":[{"dropping-particle":"","family":"Tripoliti","given":"Evanthia E","non-dropping-particle":"","parse-names":false,"suffix":""},{"dropping-particle":"","family":"Fotiadis","given":"Dimitrios I","non-dropping-particle":"","parse-names":false,"suffix":""},{"dropping-particle":"","family":"Argyropoulou","given":"Maria","non-dropping-particle":"","parse-names":false,"suffix":""},{"dropping-particle":"","family":"Manis","given":"George","non-dropping-particle":"","parse-names":false,"suffix":""}],"container-title":"Journal of biomedical informatics","id":"ITEM-3","issue":"2","issued":{"date-parts":[["2010"]]},"page":"307-320","publisher":"Elsevier","title":"A six stage approach for the diagnosis of the Alzheimer’s disease based on fMRI data","type":"article-journal","volume":"43"},"uris":["http://www.mendeley.com/documents/?uuid=9c494050-5158-4542-b9c6-9f7a09b1414e"]}],"mendeley":{"formattedCitation":"&lt;sup&gt;20,21,35&lt;/sup&gt;","manualFormatting":"(Lehmann et al., 2007; Maroco et al., 2011; Tripoliti et al., 2010)","plainTextFormattedCitation":"20,21,35","previouslyFormattedCitation":"(Maroco et al., 2011; Lehmann et al., 2007b; Tripoliti et al., 2010)"},"properties":{"noteIndex":0},"schema":"https://github.com/citation-style-language/schema/raw/master/csl-citation.json"}</w:instrText>
      </w:r>
      <w:r w:rsidR="00156D24" w:rsidRPr="00320BAF">
        <w:fldChar w:fldCharType="separate"/>
      </w:r>
      <w:r w:rsidR="00156D24" w:rsidRPr="00320BAF">
        <w:rPr>
          <w:noProof/>
        </w:rPr>
        <w:t>(Lehmann et al., 2007; Maroco et al., 2011; Tripoliti et al., 2010)</w:t>
      </w:r>
      <w:r w:rsidR="00156D24" w:rsidRPr="00320BAF">
        <w:fldChar w:fldCharType="end"/>
      </w:r>
      <w:r w:rsidR="1E98346E" w:rsidRPr="000B70C6">
        <w:t xml:space="preserve">. </w:t>
      </w:r>
      <w:r w:rsidR="00B46207" w:rsidRPr="000B70C6">
        <w:t>F</w:t>
      </w:r>
      <w:r w:rsidR="1E98346E" w:rsidRPr="000B70C6">
        <w:t xml:space="preserve">urther investigation into the validity of such algorithms in this field is </w:t>
      </w:r>
      <w:r w:rsidR="003810C4" w:rsidRPr="000B70C6">
        <w:t xml:space="preserve">therefore </w:t>
      </w:r>
      <w:r w:rsidR="1E98346E" w:rsidRPr="000B70C6">
        <w:t>required</w:t>
      </w:r>
      <w:r w:rsidR="003810C4" w:rsidRPr="000B70C6">
        <w:t>,</w:t>
      </w:r>
      <w:r w:rsidR="00D05C58" w:rsidRPr="000B70C6">
        <w:t xml:space="preserve"> using bigger samples and novel diagnostic approaches</w:t>
      </w:r>
      <w:r w:rsidR="1E98346E" w:rsidRPr="000B70C6">
        <w:t xml:space="preserve">. Likewise, our study </w:t>
      </w:r>
      <w:r w:rsidR="003810C4" w:rsidRPr="000B70C6">
        <w:t>uses</w:t>
      </w:r>
      <w:r w:rsidR="1E98346E" w:rsidRPr="000B70C6">
        <w:t xml:space="preserve"> a well-constructed </w:t>
      </w:r>
      <w:r w:rsidRPr="000B70C6">
        <w:t xml:space="preserve">longitudinal </w:t>
      </w:r>
      <w:r w:rsidR="1E98346E" w:rsidRPr="000B70C6">
        <w:t>data set,</w:t>
      </w:r>
      <w:r w:rsidRPr="000B70C6">
        <w:t xml:space="preserve"> considering the </w:t>
      </w:r>
      <w:r w:rsidR="00D95C2E" w:rsidRPr="000B70C6">
        <w:t>complexit</w:t>
      </w:r>
      <w:r w:rsidR="00D95C2E">
        <w:t>y</w:t>
      </w:r>
      <w:r w:rsidR="00D95C2E" w:rsidRPr="000B70C6">
        <w:t xml:space="preserve"> </w:t>
      </w:r>
      <w:r w:rsidRPr="000B70C6">
        <w:t>of MCI diagnosis and transitions between diagnostic categories in this field</w:t>
      </w:r>
      <w:r w:rsidR="00701F2F" w:rsidRPr="000B70C6">
        <w:t xml:space="preserve"> </w:t>
      </w:r>
      <w:r w:rsidR="00156D24" w:rsidRPr="00320BAF">
        <w:fldChar w:fldCharType="begin" w:fldLock="1"/>
      </w:r>
      <w:r w:rsidR="002D19B0">
        <w:instrText>ADDIN CSL_CITATION {"citationItems":[{"id":"ITEM-1","itemData":{"DOI":"10.3390/brainsci7090111","ISSN":"20763425","PMID":"28862676","abstract":"As the conceptual, methodological, and technological advances applied to dementias have evolved the construct of mild cognitive impairment (MCI), one problem encountered has been its classification into subtypes. Here, we aim to revise the concept of MCI and its subtypes, addressing the problems of classification not only from the psychometric point of view or by using alternative methods, such as latent class analysis, but also considering the absence of normative data. In addition to the well-known influence of certain factors on cognitive function, such as educational level and cultural traits, recent studies highlight the relevance of other factors that may significantly affect the genesis and evolution of MCI: subjective memory complaints, loneliness, social isolation, etc. The present work will contemplate the most relevant attempts to clarify the issue of MCI categorization and classification, combining our own data with that from recent studies which suggest the role of relevant psychosocial factors in MCI.","author":[{"dropping-particle":"","family":"Carmen Díaz-Mardomingo","given":"María","non-dropping-particle":"del","parse-names":false,"suffix":""},{"dropping-particle":"","family":"García-Herranz","given":"Sara","non-dropping-particle":"","parse-names":false,"suffix":""},{"dropping-particle":"","family":"Rodríguez-Fernández","given":"Raquel","non-dropping-particle":"","parse-names":false,"suffix":""},{"dropping-particle":"","family":"Venero","given":"César","non-dropping-particle":"","parse-names":false,"suffix":""},{"dropping-particle":"","family":"Peraita","given":"Herminia","non-dropping-particle":"","parse-names":false,"suffix":""}],"container-title":"Brain Sciences","id":"ITEM-1","issue":"9","issued":{"date-parts":[["2017"]]},"title":"Problems in classifying mild cognitive impairment (MCI): One or multiple syndromes?","type":"article-journal","volume":"7"},"uris":["http://www.mendeley.com/documents/?uuid=33933775-ab5c-47bb-9c9b-6f0162e49a4b"]},{"id":"ITEM-2","itemData":{"DOI":"10.1177/0733464815589987","ISBN":"0733-4648","ISSN":"15524523","abstract":"The development of effective interventions for mild cognitive impairment (MCI) in older adults has been limited by extensive variability in the conceptualization and definition of MCI, its subtypes, and relevant diagnostic criteria within the neurocultural, pharmaceutical, and gerontological communities. A scoping review was conducted to explore the conceptual development of MCI and identify the resulting ethical, political, and technological implications for the care of older adults with MCI. A comprehensive search was conducted between January and April 2013 to identify English-language peer-reviewed articles published between 1999 589987J AGXXX10.1177/0733464815589987Journal of Applied GerontologyFang et al. research-article2015 Fang et al. 809 and 2013. Our analysis revealed that the MCI conceptual debate remains unresolved, the response to ethical issues is contentious, the policy response is limited, and one-dimensional and technological interventions are scarce. Reflections on the conceptual, ethical, and policy responses in conjunction with the identification of the needs of older adults diagnosed with MCI highlight significant opportunities for technological interventions to effectively reposition MCI in the aging care discourse.","author":[{"dropping-particle":"","family":"Fang","given":"Mei Lan","non-dropping-particle":"","parse-names":false,"suffix":""},{"dropping-particle":"","family":"Coatta","given":"Katherine","non-dropping-particle":"","parse-names":false,"suffix":""},{"dropping-particle":"","family":"Badger","given":"Melissa","non-dropping-particle":"","parse-names":false,"suffix":""},{"dropping-particle":"","family":"Wu","given":"Sarah","non-dropping-particle":"","parse-names":false,"suffix":""},{"dropping-particle":"","family":"Easton","given":"Margaret","non-dropping-particle":"","parse-names":false,"suffix":""},{"dropping-particle":"","family":"Nygård","given":"Louise","non-dropping-particle":"","parse-names":false,"suffix":""},{"dropping-particle":"","family":"Astell","given":"Arlene","non-dropping-particle":"","parse-names":false,"suffix":""},{"dropping-particle":"","family":"Sixsmith","given":"Andrew","non-dropping-particle":"","parse-names":false,"suffix":""}],"container-title":"Journal of Applied Gerontology","id":"ITEM-2","issue":"7","issued":{"date-parts":[["2017"]]},"number-of-pages":"808-839","title":"Informing Understandings of Mild Cognitive Impairment for Older Adults: Implications from a Scoping Review","type":"book","volume":"36"},"uris":["http://www.mendeley.com/documents/?uuid=3d2fa348-c7c3-4cb1-9153-ff6601c4cfc3"]},{"id":"ITEM-3","itemData":{"author":[{"dropping-particle":"","family":"Facal","given":"David","non-dropping-particle":"","parse-names":false,"suffix":""},{"dropping-particle":"","family":"Guàrdia-Olmos","given":"Joan","non-dropping-particle":"","parse-names":false,"suffix":""},{"dropping-particle":"","family":"Juncos-Rabadán","given":"Onésimo","non-dropping-particle":"","parse-names":false,"suffix":""}],"container-title":"International journal of geriatric psychiatry","id":"ITEM-3","issue":"7","issued":{"date-parts":[["2015"]]},"page":"669-676","publisher":"Wiley Online Library","title":"Diagnostic transitions in mild cognitive impairment by use of simple Markov models","type":"article-journal","volume":"30"},"uris":["http://www.mendeley.com/documents/?uuid=0cb57e8b-6f91-4b26-acc9-f8bc2cd34f7d"]}],"mendeley":{"formattedCitation":"&lt;sup&gt;3,40,41&lt;/sup&gt;","plainTextFormattedCitation":"3,40,41","previouslyFormattedCitation":"(del Carmen Díaz-Mardomingo et al., 2017; Fang et al., 2017; Facal et al., 2015a)"},"properties":{"noteIndex":0},"schema":"https://github.com/citation-style-language/schema/raw/master/csl-citation.json"}</w:instrText>
      </w:r>
      <w:r w:rsidR="00156D24" w:rsidRPr="00320BAF">
        <w:fldChar w:fldCharType="separate"/>
      </w:r>
      <w:r w:rsidR="002D19B0" w:rsidRPr="002D19B0">
        <w:rPr>
          <w:noProof/>
          <w:vertAlign w:val="superscript"/>
        </w:rPr>
        <w:t>3,40,41</w:t>
      </w:r>
      <w:r w:rsidR="00156D24" w:rsidRPr="00320BAF">
        <w:fldChar w:fldCharType="end"/>
      </w:r>
      <w:r w:rsidR="00156D24" w:rsidRPr="002D19B0">
        <w:t xml:space="preserve">. </w:t>
      </w:r>
      <w:r w:rsidR="1E98346E" w:rsidRPr="000B70C6">
        <w:t xml:space="preserve">Therefore, </w:t>
      </w:r>
      <w:r w:rsidR="003810C4" w:rsidRPr="000B70C6">
        <w:t xml:space="preserve">the </w:t>
      </w:r>
      <w:r w:rsidR="1E98346E" w:rsidRPr="000B70C6">
        <w:t>performance metrics obtained are robust</w:t>
      </w:r>
      <w:r w:rsidRPr="000B70C6">
        <w:t xml:space="preserve"> and </w:t>
      </w:r>
      <w:r w:rsidR="003810C4" w:rsidRPr="000B70C6">
        <w:t>the</w:t>
      </w:r>
      <w:r w:rsidRPr="000B70C6">
        <w:t xml:space="preserve"> </w:t>
      </w:r>
      <w:r w:rsidR="1E98346E" w:rsidRPr="000B70C6">
        <w:t xml:space="preserve">algorithms </w:t>
      </w:r>
      <w:r w:rsidR="003810C4" w:rsidRPr="000B70C6">
        <w:t xml:space="preserve">used </w:t>
      </w:r>
      <w:r w:rsidR="1E98346E" w:rsidRPr="000B70C6">
        <w:t>have been well tested in other similar fields.</w:t>
      </w:r>
    </w:p>
    <w:p w14:paraId="5DB8D25F" w14:textId="77777777" w:rsidR="2DE0E3FA" w:rsidRPr="000B70C6" w:rsidRDefault="2DE0E3FA" w:rsidP="002E6C69">
      <w:pPr>
        <w:pStyle w:val="Newparagraph"/>
      </w:pPr>
    </w:p>
    <w:p w14:paraId="166B6885" w14:textId="77777777" w:rsidR="2DE0E3FA" w:rsidRPr="000B70C6" w:rsidRDefault="00B76066" w:rsidP="002E6C69">
      <w:pPr>
        <w:pStyle w:val="Newparagraph"/>
      </w:pPr>
      <w:r w:rsidRPr="000B70C6">
        <w:t>In sum</w:t>
      </w:r>
      <w:r w:rsidR="003810C4" w:rsidRPr="000B70C6">
        <w:t>mary</w:t>
      </w:r>
      <w:r w:rsidRPr="000B70C6">
        <w:t xml:space="preserve">, </w:t>
      </w:r>
      <w:r w:rsidR="2DE0E3FA" w:rsidRPr="000B70C6">
        <w:t xml:space="preserve">we </w:t>
      </w:r>
      <w:r w:rsidR="003810C4" w:rsidRPr="000B70C6">
        <w:t>used ML approaches</w:t>
      </w:r>
      <w:r w:rsidR="003810C4" w:rsidRPr="000B70C6" w:rsidDel="003810C4">
        <w:t xml:space="preserve"> </w:t>
      </w:r>
      <w:r w:rsidR="003810C4" w:rsidRPr="000B70C6">
        <w:t xml:space="preserve">to </w:t>
      </w:r>
      <w:r w:rsidR="2DE0E3FA" w:rsidRPr="000B70C6">
        <w:t xml:space="preserve">explore the role of </w:t>
      </w:r>
      <w:r w:rsidRPr="000B70C6">
        <w:t>CR</w:t>
      </w:r>
      <w:r w:rsidR="2DE0E3FA" w:rsidRPr="000B70C6">
        <w:t xml:space="preserve"> in conversion from MCI to </w:t>
      </w:r>
      <w:r w:rsidRPr="000B70C6">
        <w:t>dementia</w:t>
      </w:r>
      <w:r w:rsidR="2DE0E3FA" w:rsidRPr="000B70C6">
        <w:t xml:space="preserve">. </w:t>
      </w:r>
      <w:r w:rsidR="003810C4" w:rsidRPr="000B70C6">
        <w:t>The findings indicate</w:t>
      </w:r>
      <w:r w:rsidR="2DE0E3FA" w:rsidRPr="000B70C6">
        <w:t xml:space="preserve"> the </w:t>
      </w:r>
      <w:r w:rsidR="003810C4" w:rsidRPr="000B70C6">
        <w:t xml:space="preserve">potential value </w:t>
      </w:r>
      <w:r w:rsidR="2DE0E3FA" w:rsidRPr="000B70C6">
        <w:t xml:space="preserve">of </w:t>
      </w:r>
      <w:r w:rsidRPr="000B70C6">
        <w:t>ML</w:t>
      </w:r>
      <w:r w:rsidR="2DE0E3FA" w:rsidRPr="000B70C6">
        <w:t xml:space="preserve"> algorithms for detecting </w:t>
      </w:r>
      <w:r w:rsidR="00D05C58" w:rsidRPr="000B70C6">
        <w:t>risk of conversion to dementia in cognitive aging and CR studies</w:t>
      </w:r>
      <w:r w:rsidR="2DE0E3FA" w:rsidRPr="000B70C6">
        <w:t xml:space="preserve">. </w:t>
      </w:r>
      <w:r w:rsidR="00836357" w:rsidRPr="000B70C6">
        <w:t>Accordingly</w:t>
      </w:r>
      <w:r w:rsidR="2DE0E3FA" w:rsidRPr="000B70C6">
        <w:t xml:space="preserve">, we validated a data set composed by 14 </w:t>
      </w:r>
      <w:r w:rsidR="00BA1289">
        <w:t>variables</w:t>
      </w:r>
      <w:r w:rsidR="00BA1289" w:rsidRPr="000B70C6">
        <w:t xml:space="preserve"> </w:t>
      </w:r>
      <w:r w:rsidR="2DE0E3FA" w:rsidRPr="000B70C6">
        <w:t xml:space="preserve">from baseline assessment variables to </w:t>
      </w:r>
      <w:r w:rsidR="00836357" w:rsidRPr="000B70C6">
        <w:t>CR</w:t>
      </w:r>
      <w:r w:rsidR="2DE0E3FA" w:rsidRPr="000B70C6">
        <w:t xml:space="preserve"> proxies. After training the system with the nine algorithms</w:t>
      </w:r>
      <w:r w:rsidR="00D95C2E" w:rsidRPr="00D95C2E">
        <w:t xml:space="preserve"> </w:t>
      </w:r>
      <w:r w:rsidR="00D95C2E" w:rsidRPr="000B70C6">
        <w:t>selected</w:t>
      </w:r>
      <w:r w:rsidR="2DE0E3FA" w:rsidRPr="000B70C6">
        <w:t xml:space="preserve">, the best classification results </w:t>
      </w:r>
      <w:r w:rsidR="00836357" w:rsidRPr="000B70C6">
        <w:t xml:space="preserve">were </w:t>
      </w:r>
      <w:r w:rsidR="2DE0E3FA" w:rsidRPr="000B70C6">
        <w:t xml:space="preserve">achieved by ensemble methods (Gradient Boosting </w:t>
      </w:r>
      <w:r w:rsidR="00BA1289">
        <w:t>plus</w:t>
      </w:r>
      <w:r w:rsidR="00BA1289" w:rsidRPr="000B70C6">
        <w:t xml:space="preserve"> </w:t>
      </w:r>
      <w:r w:rsidR="2DE0E3FA" w:rsidRPr="000B70C6">
        <w:t xml:space="preserve">Random Forest classifiers). Moreover, some </w:t>
      </w:r>
      <w:r w:rsidR="00836357" w:rsidRPr="000B70C6">
        <w:t>CR</w:t>
      </w:r>
      <w:r w:rsidR="2DE0E3FA" w:rsidRPr="000B70C6">
        <w:t xml:space="preserve"> proxies </w:t>
      </w:r>
      <w:r w:rsidR="00836357" w:rsidRPr="000B70C6">
        <w:t xml:space="preserve">were </w:t>
      </w:r>
      <w:r w:rsidR="2DE0E3FA" w:rsidRPr="000B70C6">
        <w:t xml:space="preserve">among the most important variables </w:t>
      </w:r>
      <w:r w:rsidR="003810C4" w:rsidRPr="000B70C6">
        <w:t xml:space="preserve">for </w:t>
      </w:r>
      <w:r w:rsidR="2DE0E3FA" w:rsidRPr="000B70C6">
        <w:t>predicting conversion to dementia</w:t>
      </w:r>
      <w:r w:rsidR="00836357" w:rsidRPr="000B70C6">
        <w:t>, adding evidence to the increasing literature about the CR hypothesis</w:t>
      </w:r>
      <w:r w:rsidR="2DE0E3FA" w:rsidRPr="000B70C6">
        <w:t xml:space="preserve">. </w:t>
      </w:r>
      <w:r w:rsidR="00BA1289">
        <w:t>Further research is</w:t>
      </w:r>
      <w:r w:rsidR="2DE0E3FA" w:rsidRPr="000B70C6">
        <w:t xml:space="preserve"> </w:t>
      </w:r>
      <w:r w:rsidR="003810C4" w:rsidRPr="000B70C6">
        <w:t xml:space="preserve">required </w:t>
      </w:r>
      <w:r w:rsidR="2DE0E3FA" w:rsidRPr="000B70C6">
        <w:t xml:space="preserve">to </w:t>
      </w:r>
      <w:r w:rsidR="003810C4" w:rsidRPr="000B70C6">
        <w:t xml:space="preserve">develop </w:t>
      </w:r>
      <w:r w:rsidR="00836357" w:rsidRPr="000B70C6">
        <w:t xml:space="preserve">a </w:t>
      </w:r>
      <w:r w:rsidR="003810C4" w:rsidRPr="000B70C6">
        <w:t xml:space="preserve">robust </w:t>
      </w:r>
      <w:r w:rsidR="00836357" w:rsidRPr="000B70C6">
        <w:t xml:space="preserve">procedure </w:t>
      </w:r>
      <w:r w:rsidR="00BA1289">
        <w:t>ML-</w:t>
      </w:r>
      <w:r w:rsidR="00BA1289" w:rsidRPr="000B70C6">
        <w:t xml:space="preserve">based </w:t>
      </w:r>
      <w:r w:rsidR="003810C4" w:rsidRPr="000B70C6">
        <w:t>approach</w:t>
      </w:r>
      <w:r w:rsidR="00BA1289">
        <w:t xml:space="preserve"> </w:t>
      </w:r>
      <w:r w:rsidR="003810C4" w:rsidRPr="000B70C6">
        <w:t>for making</w:t>
      </w:r>
      <w:r w:rsidR="00836357" w:rsidRPr="000B70C6">
        <w:t xml:space="preserve"> </w:t>
      </w:r>
      <w:r w:rsidR="00BA1289">
        <w:t>robust</w:t>
      </w:r>
      <w:r w:rsidR="00BA1289" w:rsidRPr="000B70C6">
        <w:t xml:space="preserve"> </w:t>
      </w:r>
      <w:r w:rsidR="00836357" w:rsidRPr="000B70C6">
        <w:t>predictions about diagnostic transitions in cognitive impairment.</w:t>
      </w:r>
    </w:p>
    <w:p w14:paraId="31958046" w14:textId="77777777" w:rsidR="00794389" w:rsidRPr="000B70C6" w:rsidRDefault="00794389" w:rsidP="54AFCCBD">
      <w:pPr>
        <w:spacing w:line="360" w:lineRule="auto"/>
        <w:rPr>
          <w:rFonts w:ascii="Times New Roman" w:eastAsia="Times New Roman" w:hAnsi="Times New Roman"/>
          <w:color w:val="1C1D1E"/>
        </w:rPr>
      </w:pPr>
    </w:p>
    <w:p w14:paraId="4F66BB9F" w14:textId="77777777" w:rsidR="006C7530" w:rsidRPr="000B70C6" w:rsidRDefault="006C7530" w:rsidP="00DC1426">
      <w:pPr>
        <w:pStyle w:val="Ttulo1"/>
        <w:rPr>
          <w:lang w:val="en-GB"/>
        </w:rPr>
      </w:pPr>
      <w:r w:rsidRPr="000B70C6">
        <w:rPr>
          <w:lang w:val="en-GB"/>
        </w:rPr>
        <w:t>References</w:t>
      </w:r>
    </w:p>
    <w:p w14:paraId="33389376" w14:textId="77777777" w:rsidR="006C7530" w:rsidRDefault="006C7530" w:rsidP="54AFCCBD">
      <w:pPr>
        <w:spacing w:line="360" w:lineRule="auto"/>
        <w:rPr>
          <w:rFonts w:ascii="Times New Roman" w:eastAsia="Times New Roman" w:hAnsi="Times New Roman"/>
          <w:color w:val="1C1D1E"/>
        </w:rPr>
      </w:pPr>
    </w:p>
    <w:p w14:paraId="488BD342" w14:textId="693933E2" w:rsidR="002D19B0" w:rsidRPr="002D19B0" w:rsidRDefault="00A91734" w:rsidP="002D19B0">
      <w:pPr>
        <w:widowControl w:val="0"/>
        <w:autoSpaceDE w:val="0"/>
        <w:autoSpaceDN w:val="0"/>
        <w:adjustRightInd w:val="0"/>
        <w:spacing w:line="360" w:lineRule="auto"/>
        <w:ind w:left="640" w:hanging="640"/>
        <w:rPr>
          <w:rFonts w:ascii="Times New Roman" w:hAnsi="Times New Roman"/>
          <w:noProof/>
        </w:rPr>
      </w:pPr>
      <w:r w:rsidRPr="00886897">
        <w:rPr>
          <w:rFonts w:ascii="Times New Roman" w:hAnsi="Times New Roman"/>
          <w:noProof/>
          <w:lang w:eastAsia="ja-JP"/>
        </w:rPr>
        <w:fldChar w:fldCharType="begin" w:fldLock="1"/>
      </w:r>
      <w:r w:rsidRPr="00E12F44">
        <w:rPr>
          <w:rFonts w:ascii="Times New Roman" w:hAnsi="Times New Roman"/>
          <w:noProof/>
          <w:lang w:val="de-DE" w:eastAsia="ja-JP"/>
        </w:rPr>
        <w:instrText xml:space="preserve">ADDIN Mendeley Bibliography CSL_BIBLIOGRAPHY </w:instrText>
      </w:r>
      <w:r w:rsidRPr="00886897">
        <w:rPr>
          <w:rFonts w:ascii="Times New Roman" w:hAnsi="Times New Roman"/>
          <w:noProof/>
          <w:lang w:eastAsia="ja-JP"/>
        </w:rPr>
        <w:fldChar w:fldCharType="separate"/>
      </w:r>
      <w:r w:rsidR="002D19B0" w:rsidRPr="00E12F44">
        <w:rPr>
          <w:rFonts w:ascii="Times New Roman" w:hAnsi="Times New Roman"/>
          <w:noProof/>
          <w:lang w:val="de-DE"/>
        </w:rPr>
        <w:t xml:space="preserve">1. </w:t>
      </w:r>
      <w:r w:rsidR="002D19B0" w:rsidRPr="00E12F44">
        <w:rPr>
          <w:rFonts w:ascii="Times New Roman" w:hAnsi="Times New Roman"/>
          <w:noProof/>
          <w:lang w:val="de-DE"/>
        </w:rPr>
        <w:tab/>
        <w:t xml:space="preserve">Jack CR, Bennett DA, Blennow K, et al. </w:t>
      </w:r>
      <w:r w:rsidR="002D19B0" w:rsidRPr="002D19B0">
        <w:rPr>
          <w:rFonts w:ascii="Times New Roman" w:hAnsi="Times New Roman"/>
          <w:noProof/>
        </w:rPr>
        <w:t xml:space="preserve">NIA-AA Research Framework: Toward a biological definition of Alzheimer’s disease. </w:t>
      </w:r>
      <w:r w:rsidR="002D19B0" w:rsidRPr="002D19B0">
        <w:rPr>
          <w:rFonts w:ascii="Times New Roman" w:hAnsi="Times New Roman"/>
          <w:i/>
          <w:iCs/>
          <w:noProof/>
        </w:rPr>
        <w:t>Alzheimer’s Dement</w:t>
      </w:r>
      <w:r w:rsidR="002D19B0" w:rsidRPr="002D19B0">
        <w:rPr>
          <w:rFonts w:ascii="Times New Roman" w:hAnsi="Times New Roman"/>
          <w:noProof/>
        </w:rPr>
        <w:t>. 2018;14(4):535-562.</w:t>
      </w:r>
    </w:p>
    <w:p w14:paraId="3734797F" w14:textId="77777777" w:rsidR="002D19B0" w:rsidRPr="002D19B0" w:rsidRDefault="002D19B0" w:rsidP="002D19B0">
      <w:pPr>
        <w:widowControl w:val="0"/>
        <w:autoSpaceDE w:val="0"/>
        <w:autoSpaceDN w:val="0"/>
        <w:adjustRightInd w:val="0"/>
        <w:spacing w:line="360" w:lineRule="auto"/>
        <w:ind w:left="640" w:hanging="640"/>
        <w:rPr>
          <w:rFonts w:ascii="Times New Roman" w:hAnsi="Times New Roman"/>
          <w:noProof/>
        </w:rPr>
      </w:pPr>
      <w:r w:rsidRPr="002D19B0">
        <w:rPr>
          <w:rFonts w:ascii="Times New Roman" w:hAnsi="Times New Roman"/>
          <w:noProof/>
        </w:rPr>
        <w:t xml:space="preserve">2. </w:t>
      </w:r>
      <w:r w:rsidRPr="002D19B0">
        <w:rPr>
          <w:rFonts w:ascii="Times New Roman" w:hAnsi="Times New Roman"/>
          <w:noProof/>
        </w:rPr>
        <w:tab/>
        <w:t xml:space="preserve">Cui Q, Zhang Q, Takahashi H. The neural mechanism of encountering misjudgment by the justice system. </w:t>
      </w:r>
      <w:r w:rsidRPr="002D19B0">
        <w:rPr>
          <w:rFonts w:ascii="Times New Roman" w:hAnsi="Times New Roman"/>
          <w:i/>
          <w:iCs/>
          <w:noProof/>
        </w:rPr>
        <w:t>PLoS One</w:t>
      </w:r>
      <w:r w:rsidRPr="002D19B0">
        <w:rPr>
          <w:rFonts w:ascii="Times New Roman" w:hAnsi="Times New Roman"/>
          <w:noProof/>
        </w:rPr>
        <w:t>. 2013;8(9):e75434. doi:10.1371/journal.pone.0075434</w:t>
      </w:r>
    </w:p>
    <w:p w14:paraId="7325D3E7" w14:textId="77777777" w:rsidR="002D19B0" w:rsidRPr="002D19B0" w:rsidRDefault="002D19B0" w:rsidP="002D19B0">
      <w:pPr>
        <w:widowControl w:val="0"/>
        <w:autoSpaceDE w:val="0"/>
        <w:autoSpaceDN w:val="0"/>
        <w:adjustRightInd w:val="0"/>
        <w:spacing w:line="360" w:lineRule="auto"/>
        <w:ind w:left="640" w:hanging="640"/>
        <w:rPr>
          <w:rFonts w:ascii="Times New Roman" w:hAnsi="Times New Roman"/>
          <w:noProof/>
        </w:rPr>
      </w:pPr>
      <w:r w:rsidRPr="002D19B0">
        <w:rPr>
          <w:rFonts w:ascii="Times New Roman" w:hAnsi="Times New Roman"/>
          <w:noProof/>
        </w:rPr>
        <w:t xml:space="preserve">3. </w:t>
      </w:r>
      <w:r w:rsidRPr="002D19B0">
        <w:rPr>
          <w:rFonts w:ascii="Times New Roman" w:hAnsi="Times New Roman"/>
          <w:noProof/>
        </w:rPr>
        <w:tab/>
        <w:t xml:space="preserve">Facal D, Guàrdia-Olmos J, Juncos-Rabadán O. Diagnostic transitions in mild cognitive impairment by use of simple Markov models. </w:t>
      </w:r>
      <w:r w:rsidRPr="002D19B0">
        <w:rPr>
          <w:rFonts w:ascii="Times New Roman" w:hAnsi="Times New Roman"/>
          <w:i/>
          <w:iCs/>
          <w:noProof/>
        </w:rPr>
        <w:t>Int J Geriatr Psychiatry</w:t>
      </w:r>
      <w:r w:rsidRPr="002D19B0">
        <w:rPr>
          <w:rFonts w:ascii="Times New Roman" w:hAnsi="Times New Roman"/>
          <w:noProof/>
        </w:rPr>
        <w:t>. 2015;30(7):669-676.</w:t>
      </w:r>
    </w:p>
    <w:p w14:paraId="0D3F2BCC" w14:textId="77777777" w:rsidR="002D19B0" w:rsidRPr="002D19B0" w:rsidRDefault="002D19B0" w:rsidP="002D19B0">
      <w:pPr>
        <w:widowControl w:val="0"/>
        <w:autoSpaceDE w:val="0"/>
        <w:autoSpaceDN w:val="0"/>
        <w:adjustRightInd w:val="0"/>
        <w:spacing w:line="360" w:lineRule="auto"/>
        <w:ind w:left="640" w:hanging="640"/>
        <w:rPr>
          <w:rFonts w:ascii="Times New Roman" w:hAnsi="Times New Roman"/>
          <w:noProof/>
        </w:rPr>
      </w:pPr>
      <w:r w:rsidRPr="002D19B0">
        <w:rPr>
          <w:rFonts w:ascii="Times New Roman" w:hAnsi="Times New Roman"/>
          <w:noProof/>
        </w:rPr>
        <w:t xml:space="preserve">4. </w:t>
      </w:r>
      <w:r w:rsidRPr="002D19B0">
        <w:rPr>
          <w:rFonts w:ascii="Times New Roman" w:hAnsi="Times New Roman"/>
          <w:noProof/>
        </w:rPr>
        <w:tab/>
        <w:t xml:space="preserve">Michaud TL, Su D, Siahpush M, Murman DL. The risk of incident mild cognitive impairment and progression to dementia considering mild cognitive impairment subtypes. </w:t>
      </w:r>
      <w:r w:rsidRPr="002D19B0">
        <w:rPr>
          <w:rFonts w:ascii="Times New Roman" w:hAnsi="Times New Roman"/>
          <w:i/>
          <w:iCs/>
          <w:noProof/>
        </w:rPr>
        <w:t>Dement Geriatr Cogn Dis Extra</w:t>
      </w:r>
      <w:r w:rsidRPr="002D19B0">
        <w:rPr>
          <w:rFonts w:ascii="Times New Roman" w:hAnsi="Times New Roman"/>
          <w:noProof/>
        </w:rPr>
        <w:t>. 2017;7(1):15-29. doi:10.1159/000452486</w:t>
      </w:r>
    </w:p>
    <w:p w14:paraId="4B7FF3B8" w14:textId="77777777" w:rsidR="002D19B0" w:rsidRPr="002D19B0" w:rsidRDefault="002D19B0" w:rsidP="002D19B0">
      <w:pPr>
        <w:widowControl w:val="0"/>
        <w:autoSpaceDE w:val="0"/>
        <w:autoSpaceDN w:val="0"/>
        <w:adjustRightInd w:val="0"/>
        <w:spacing w:line="360" w:lineRule="auto"/>
        <w:ind w:left="640" w:hanging="640"/>
        <w:rPr>
          <w:rFonts w:ascii="Times New Roman" w:hAnsi="Times New Roman"/>
          <w:noProof/>
        </w:rPr>
      </w:pPr>
      <w:r w:rsidRPr="002D19B0">
        <w:rPr>
          <w:rFonts w:ascii="Times New Roman" w:hAnsi="Times New Roman"/>
          <w:noProof/>
        </w:rPr>
        <w:t xml:space="preserve">5. </w:t>
      </w:r>
      <w:r w:rsidRPr="002D19B0">
        <w:rPr>
          <w:rFonts w:ascii="Times New Roman" w:hAnsi="Times New Roman"/>
          <w:noProof/>
        </w:rPr>
        <w:tab/>
        <w:t xml:space="preserve">Chapko D, McCormack R, Black C, Staff R, Murray A. Life-course determinants of cognitive reserve (CR) in cognitive aging and dementia – a systematic literature review. </w:t>
      </w:r>
      <w:r w:rsidRPr="002D19B0">
        <w:rPr>
          <w:rFonts w:ascii="Times New Roman" w:hAnsi="Times New Roman"/>
          <w:i/>
          <w:iCs/>
          <w:noProof/>
        </w:rPr>
        <w:t>Aging Ment Health</w:t>
      </w:r>
      <w:r w:rsidRPr="002D19B0">
        <w:rPr>
          <w:rFonts w:ascii="Times New Roman" w:hAnsi="Times New Roman"/>
          <w:noProof/>
        </w:rPr>
        <w:t>. 2017;0(0):1-12. doi:10.1080/13607863.2017.1348471</w:t>
      </w:r>
    </w:p>
    <w:p w14:paraId="06B5C60B" w14:textId="77777777" w:rsidR="002D19B0" w:rsidRPr="00E12F44" w:rsidRDefault="002D19B0" w:rsidP="002D19B0">
      <w:pPr>
        <w:widowControl w:val="0"/>
        <w:autoSpaceDE w:val="0"/>
        <w:autoSpaceDN w:val="0"/>
        <w:adjustRightInd w:val="0"/>
        <w:spacing w:line="360" w:lineRule="auto"/>
        <w:ind w:left="640" w:hanging="640"/>
        <w:rPr>
          <w:rFonts w:ascii="Times New Roman" w:hAnsi="Times New Roman"/>
          <w:noProof/>
          <w:lang w:val="de-DE"/>
        </w:rPr>
      </w:pPr>
      <w:r w:rsidRPr="002D19B0">
        <w:rPr>
          <w:rFonts w:ascii="Times New Roman" w:hAnsi="Times New Roman"/>
          <w:noProof/>
        </w:rPr>
        <w:t xml:space="preserve">6. </w:t>
      </w:r>
      <w:r w:rsidRPr="002D19B0">
        <w:rPr>
          <w:rFonts w:ascii="Times New Roman" w:hAnsi="Times New Roman"/>
          <w:noProof/>
        </w:rPr>
        <w:tab/>
        <w:t xml:space="preserve">Ferreira D, Bartrés-Faz D, Nygren L, et al. Different reserve proxies confer overlapping and unique endurance to cortical thinning in healthy middle-aged adults. </w:t>
      </w:r>
      <w:r w:rsidRPr="00E12F44">
        <w:rPr>
          <w:rFonts w:ascii="Times New Roman" w:hAnsi="Times New Roman"/>
          <w:i/>
          <w:iCs/>
          <w:noProof/>
          <w:lang w:val="de-DE"/>
        </w:rPr>
        <w:t>Behav Brain Res</w:t>
      </w:r>
      <w:r w:rsidRPr="00E12F44">
        <w:rPr>
          <w:rFonts w:ascii="Times New Roman" w:hAnsi="Times New Roman"/>
          <w:noProof/>
          <w:lang w:val="de-DE"/>
        </w:rPr>
        <w:t>. 2016;311:375-383.</w:t>
      </w:r>
    </w:p>
    <w:p w14:paraId="067B5291" w14:textId="77777777" w:rsidR="002D19B0" w:rsidRPr="002D19B0" w:rsidRDefault="002D19B0" w:rsidP="002D19B0">
      <w:pPr>
        <w:widowControl w:val="0"/>
        <w:autoSpaceDE w:val="0"/>
        <w:autoSpaceDN w:val="0"/>
        <w:adjustRightInd w:val="0"/>
        <w:spacing w:line="360" w:lineRule="auto"/>
        <w:ind w:left="640" w:hanging="640"/>
        <w:rPr>
          <w:rFonts w:ascii="Times New Roman" w:hAnsi="Times New Roman"/>
          <w:noProof/>
        </w:rPr>
      </w:pPr>
      <w:r w:rsidRPr="00E12F44">
        <w:rPr>
          <w:rFonts w:ascii="Times New Roman" w:hAnsi="Times New Roman"/>
          <w:noProof/>
          <w:lang w:val="de-DE"/>
        </w:rPr>
        <w:t xml:space="preserve">7. </w:t>
      </w:r>
      <w:r w:rsidRPr="00E12F44">
        <w:rPr>
          <w:rFonts w:ascii="Times New Roman" w:hAnsi="Times New Roman"/>
          <w:noProof/>
          <w:lang w:val="de-DE"/>
        </w:rPr>
        <w:tab/>
        <w:t xml:space="preserve">Garibotto V, Borroni B, Kalbe E, et al. </w:t>
      </w:r>
      <w:r w:rsidRPr="002D19B0">
        <w:rPr>
          <w:rFonts w:ascii="Times New Roman" w:hAnsi="Times New Roman"/>
          <w:noProof/>
        </w:rPr>
        <w:t xml:space="preserve">Education and occupation as proxies for reserve in aMCI converters and AD: FDG-PET evidence. </w:t>
      </w:r>
      <w:r w:rsidRPr="002D19B0">
        <w:rPr>
          <w:rFonts w:ascii="Times New Roman" w:hAnsi="Times New Roman"/>
          <w:i/>
          <w:iCs/>
          <w:noProof/>
        </w:rPr>
        <w:t>Neurology</w:t>
      </w:r>
      <w:r w:rsidRPr="002D19B0">
        <w:rPr>
          <w:rFonts w:ascii="Times New Roman" w:hAnsi="Times New Roman"/>
          <w:noProof/>
        </w:rPr>
        <w:t>. 2008;71(17):1342-1349. doi:10.1212/01.wnl.0000327670.62378.c0</w:t>
      </w:r>
    </w:p>
    <w:p w14:paraId="441B2B7D" w14:textId="77777777" w:rsidR="002D19B0" w:rsidRPr="002D19B0" w:rsidRDefault="002D19B0" w:rsidP="002D19B0">
      <w:pPr>
        <w:widowControl w:val="0"/>
        <w:autoSpaceDE w:val="0"/>
        <w:autoSpaceDN w:val="0"/>
        <w:adjustRightInd w:val="0"/>
        <w:spacing w:line="360" w:lineRule="auto"/>
        <w:ind w:left="640" w:hanging="640"/>
        <w:rPr>
          <w:rFonts w:ascii="Times New Roman" w:hAnsi="Times New Roman"/>
          <w:noProof/>
        </w:rPr>
      </w:pPr>
      <w:r w:rsidRPr="002D19B0">
        <w:rPr>
          <w:rFonts w:ascii="Times New Roman" w:hAnsi="Times New Roman"/>
          <w:noProof/>
        </w:rPr>
        <w:t xml:space="preserve">8. </w:t>
      </w:r>
      <w:r w:rsidRPr="002D19B0">
        <w:rPr>
          <w:rFonts w:ascii="Times New Roman" w:hAnsi="Times New Roman"/>
          <w:noProof/>
        </w:rPr>
        <w:tab/>
        <w:t xml:space="preserve">Giogkaraki E, Michaelides MP, Constantinidou F. The role of cognitive reserve in cognitive aging: Results from the neurocognitive study on aging. </w:t>
      </w:r>
      <w:r w:rsidRPr="002D19B0">
        <w:rPr>
          <w:rFonts w:ascii="Times New Roman" w:hAnsi="Times New Roman"/>
          <w:i/>
          <w:iCs/>
          <w:noProof/>
        </w:rPr>
        <w:t>J Clin Exp Neuropsychol</w:t>
      </w:r>
      <w:r w:rsidRPr="002D19B0">
        <w:rPr>
          <w:rFonts w:ascii="Times New Roman" w:hAnsi="Times New Roman"/>
          <w:noProof/>
        </w:rPr>
        <w:t>. 2013;35(10):1024-1035. doi:10.1080/13803395.2013.847906</w:t>
      </w:r>
    </w:p>
    <w:p w14:paraId="616037B2" w14:textId="77777777" w:rsidR="002D19B0" w:rsidRPr="00E12F44" w:rsidRDefault="002D19B0" w:rsidP="002D19B0">
      <w:pPr>
        <w:widowControl w:val="0"/>
        <w:autoSpaceDE w:val="0"/>
        <w:autoSpaceDN w:val="0"/>
        <w:adjustRightInd w:val="0"/>
        <w:spacing w:line="360" w:lineRule="auto"/>
        <w:ind w:left="640" w:hanging="640"/>
        <w:rPr>
          <w:rFonts w:ascii="Times New Roman" w:hAnsi="Times New Roman"/>
          <w:noProof/>
          <w:lang w:val="de-DE"/>
        </w:rPr>
      </w:pPr>
      <w:r w:rsidRPr="002D19B0">
        <w:rPr>
          <w:rFonts w:ascii="Times New Roman" w:hAnsi="Times New Roman"/>
          <w:noProof/>
        </w:rPr>
        <w:t xml:space="preserve">9. </w:t>
      </w:r>
      <w:r w:rsidRPr="002D19B0">
        <w:rPr>
          <w:rFonts w:ascii="Times New Roman" w:hAnsi="Times New Roman"/>
          <w:noProof/>
        </w:rPr>
        <w:tab/>
        <w:t xml:space="preserve">Lojo-Seoane C, Facal D, Guardia-Olmos J, Juncos-Rabadan O. Structural Model for Estimating the Influence of Cognitive Reserve on Cognitive Performance in Adults with Subjective Memory Complaints. </w:t>
      </w:r>
      <w:r w:rsidRPr="00E12F44">
        <w:rPr>
          <w:rFonts w:ascii="Times New Roman" w:hAnsi="Times New Roman"/>
          <w:i/>
          <w:iCs/>
          <w:noProof/>
          <w:lang w:val="de-DE"/>
        </w:rPr>
        <w:t>Arch Clin Neuropsychol</w:t>
      </w:r>
      <w:r w:rsidRPr="00E12F44">
        <w:rPr>
          <w:rFonts w:ascii="Times New Roman" w:hAnsi="Times New Roman"/>
          <w:noProof/>
          <w:lang w:val="de-DE"/>
        </w:rPr>
        <w:t>. 2014;29(3):245-255. doi:10.1093/arclin/acu007</w:t>
      </w:r>
    </w:p>
    <w:p w14:paraId="434586F9" w14:textId="77777777" w:rsidR="002D19B0" w:rsidRPr="002D19B0" w:rsidRDefault="002D19B0" w:rsidP="002D19B0">
      <w:pPr>
        <w:widowControl w:val="0"/>
        <w:autoSpaceDE w:val="0"/>
        <w:autoSpaceDN w:val="0"/>
        <w:adjustRightInd w:val="0"/>
        <w:spacing w:line="360" w:lineRule="auto"/>
        <w:ind w:left="640" w:hanging="640"/>
        <w:rPr>
          <w:rFonts w:ascii="Times New Roman" w:hAnsi="Times New Roman"/>
          <w:noProof/>
        </w:rPr>
      </w:pPr>
      <w:r w:rsidRPr="00E12F44">
        <w:rPr>
          <w:rFonts w:ascii="Times New Roman" w:hAnsi="Times New Roman"/>
          <w:noProof/>
          <w:lang w:val="de-DE"/>
        </w:rPr>
        <w:t xml:space="preserve">10. </w:t>
      </w:r>
      <w:r w:rsidRPr="00E12F44">
        <w:rPr>
          <w:rFonts w:ascii="Times New Roman" w:hAnsi="Times New Roman"/>
          <w:noProof/>
          <w:lang w:val="de-DE"/>
        </w:rPr>
        <w:tab/>
        <w:t xml:space="preserve">Stern Y. Cognitive reserve. </w:t>
      </w:r>
      <w:r w:rsidRPr="00E12F44">
        <w:rPr>
          <w:rFonts w:ascii="Times New Roman" w:hAnsi="Times New Roman"/>
          <w:i/>
          <w:iCs/>
          <w:noProof/>
          <w:lang w:val="de-DE"/>
        </w:rPr>
        <w:t>Neuropsychologia</w:t>
      </w:r>
      <w:r w:rsidRPr="00E12F44">
        <w:rPr>
          <w:rFonts w:ascii="Times New Roman" w:hAnsi="Times New Roman"/>
          <w:noProof/>
          <w:lang w:val="de-DE"/>
        </w:rPr>
        <w:t xml:space="preserve">. </w:t>
      </w:r>
      <w:r w:rsidRPr="002D19B0">
        <w:rPr>
          <w:rFonts w:ascii="Times New Roman" w:hAnsi="Times New Roman"/>
          <w:noProof/>
        </w:rPr>
        <w:t>2009;47(10):2015-2028. doi:10.1016/j.neuropsychologia.2009.03.004</w:t>
      </w:r>
    </w:p>
    <w:p w14:paraId="5D57DA18" w14:textId="77777777" w:rsidR="002D19B0" w:rsidRPr="002D19B0" w:rsidRDefault="002D19B0" w:rsidP="002D19B0">
      <w:pPr>
        <w:widowControl w:val="0"/>
        <w:autoSpaceDE w:val="0"/>
        <w:autoSpaceDN w:val="0"/>
        <w:adjustRightInd w:val="0"/>
        <w:spacing w:line="360" w:lineRule="auto"/>
        <w:ind w:left="640" w:hanging="640"/>
        <w:rPr>
          <w:rFonts w:ascii="Times New Roman" w:hAnsi="Times New Roman"/>
          <w:noProof/>
        </w:rPr>
      </w:pPr>
      <w:r w:rsidRPr="002D19B0">
        <w:rPr>
          <w:rFonts w:ascii="Times New Roman" w:hAnsi="Times New Roman"/>
          <w:noProof/>
        </w:rPr>
        <w:t xml:space="preserve">11. </w:t>
      </w:r>
      <w:r w:rsidRPr="002D19B0">
        <w:rPr>
          <w:rFonts w:ascii="Times New Roman" w:hAnsi="Times New Roman"/>
          <w:noProof/>
        </w:rPr>
        <w:tab/>
        <w:t xml:space="preserve">Lojo-Seoane C, Facal D, GUÀRDIA-OLMOS J, Pereiro A, Juncos-Rabadán O. Effects of Cognitive Reserve on Cognitive Performance in a Follow-up Study in Older Adults with Subjective Cognitive Complaints. The role of Working Memory. </w:t>
      </w:r>
      <w:r w:rsidRPr="002D19B0">
        <w:rPr>
          <w:rFonts w:ascii="Times New Roman" w:hAnsi="Times New Roman"/>
          <w:i/>
          <w:iCs/>
          <w:noProof/>
        </w:rPr>
        <w:t>Front Aging Neurosci</w:t>
      </w:r>
      <w:r w:rsidRPr="002D19B0">
        <w:rPr>
          <w:rFonts w:ascii="Times New Roman" w:hAnsi="Times New Roman"/>
          <w:noProof/>
        </w:rPr>
        <w:t>. 2018;10:189.</w:t>
      </w:r>
    </w:p>
    <w:p w14:paraId="0E56AA2E" w14:textId="77777777" w:rsidR="002D19B0" w:rsidRPr="002D19B0" w:rsidRDefault="002D19B0" w:rsidP="002D19B0">
      <w:pPr>
        <w:widowControl w:val="0"/>
        <w:autoSpaceDE w:val="0"/>
        <w:autoSpaceDN w:val="0"/>
        <w:adjustRightInd w:val="0"/>
        <w:spacing w:line="360" w:lineRule="auto"/>
        <w:ind w:left="640" w:hanging="640"/>
        <w:rPr>
          <w:rFonts w:ascii="Times New Roman" w:hAnsi="Times New Roman"/>
          <w:noProof/>
        </w:rPr>
      </w:pPr>
      <w:r w:rsidRPr="002D19B0">
        <w:rPr>
          <w:rFonts w:ascii="Times New Roman" w:hAnsi="Times New Roman"/>
          <w:noProof/>
        </w:rPr>
        <w:t xml:space="preserve">12. </w:t>
      </w:r>
      <w:r w:rsidRPr="002D19B0">
        <w:rPr>
          <w:rFonts w:ascii="Times New Roman" w:hAnsi="Times New Roman"/>
          <w:noProof/>
        </w:rPr>
        <w:tab/>
        <w:t xml:space="preserve">Sumowski J, Rocca M, Leavitt V, et al. Brain reserve and cognitive reserve protect against cognitive decline over 4 . 5 years in. </w:t>
      </w:r>
      <w:r w:rsidRPr="002D19B0">
        <w:rPr>
          <w:rFonts w:ascii="Times New Roman" w:hAnsi="Times New Roman"/>
          <w:i/>
          <w:iCs/>
          <w:noProof/>
        </w:rPr>
        <w:t>Am Acad Neurol</w:t>
      </w:r>
      <w:r w:rsidRPr="002D19B0">
        <w:rPr>
          <w:rFonts w:ascii="Times New Roman" w:hAnsi="Times New Roman"/>
          <w:noProof/>
        </w:rPr>
        <w:t>. 2014;(2):4-5.</w:t>
      </w:r>
    </w:p>
    <w:p w14:paraId="2DCB69EC" w14:textId="77777777" w:rsidR="002D19B0" w:rsidRPr="002D19B0" w:rsidRDefault="002D19B0" w:rsidP="002D19B0">
      <w:pPr>
        <w:widowControl w:val="0"/>
        <w:autoSpaceDE w:val="0"/>
        <w:autoSpaceDN w:val="0"/>
        <w:adjustRightInd w:val="0"/>
        <w:spacing w:line="360" w:lineRule="auto"/>
        <w:ind w:left="640" w:hanging="640"/>
        <w:rPr>
          <w:rFonts w:ascii="Times New Roman" w:hAnsi="Times New Roman"/>
          <w:noProof/>
        </w:rPr>
      </w:pPr>
      <w:r w:rsidRPr="002D19B0">
        <w:rPr>
          <w:rFonts w:ascii="Times New Roman" w:hAnsi="Times New Roman"/>
          <w:noProof/>
        </w:rPr>
        <w:t xml:space="preserve">13. </w:t>
      </w:r>
      <w:r w:rsidRPr="002D19B0">
        <w:rPr>
          <w:rFonts w:ascii="Times New Roman" w:hAnsi="Times New Roman"/>
          <w:noProof/>
        </w:rPr>
        <w:tab/>
        <w:t xml:space="preserve">Serra L, Musicco M, Cercignani M, et al. Cognitive reserve and the risk for Alzheimer’s disease: a longitudinal study. </w:t>
      </w:r>
      <w:r w:rsidRPr="002D19B0">
        <w:rPr>
          <w:rFonts w:ascii="Times New Roman" w:hAnsi="Times New Roman"/>
          <w:i/>
          <w:iCs/>
          <w:noProof/>
        </w:rPr>
        <w:t>Neurobiol Aging</w:t>
      </w:r>
      <w:r w:rsidRPr="002D19B0">
        <w:rPr>
          <w:rFonts w:ascii="Times New Roman" w:hAnsi="Times New Roman"/>
          <w:noProof/>
        </w:rPr>
        <w:t>. 2015;36(2):592-600. doi:http://dx.doi.org/10.1016/j.neurobiolaging.2014.10.010</w:t>
      </w:r>
    </w:p>
    <w:p w14:paraId="6FAB59F3" w14:textId="77777777" w:rsidR="002D19B0" w:rsidRPr="002D19B0" w:rsidRDefault="002D19B0" w:rsidP="002D19B0">
      <w:pPr>
        <w:widowControl w:val="0"/>
        <w:autoSpaceDE w:val="0"/>
        <w:autoSpaceDN w:val="0"/>
        <w:adjustRightInd w:val="0"/>
        <w:spacing w:line="360" w:lineRule="auto"/>
        <w:ind w:left="640" w:hanging="640"/>
        <w:rPr>
          <w:rFonts w:ascii="Times New Roman" w:hAnsi="Times New Roman"/>
          <w:noProof/>
        </w:rPr>
      </w:pPr>
      <w:r w:rsidRPr="002D19B0">
        <w:rPr>
          <w:rFonts w:ascii="Times New Roman" w:hAnsi="Times New Roman"/>
          <w:noProof/>
        </w:rPr>
        <w:t xml:space="preserve">14. </w:t>
      </w:r>
      <w:r w:rsidRPr="002D19B0">
        <w:rPr>
          <w:rFonts w:ascii="Times New Roman" w:hAnsi="Times New Roman"/>
          <w:noProof/>
        </w:rPr>
        <w:tab/>
        <w:t xml:space="preserve">Ding D, Zhao Q, Guo Q, et al. Progression and predictors of mild cognitive impairment in Chinese elderly: A prospective follow-up in the Shanghai Aging Study. </w:t>
      </w:r>
      <w:r w:rsidRPr="002D19B0">
        <w:rPr>
          <w:rFonts w:ascii="Times New Roman" w:hAnsi="Times New Roman"/>
          <w:i/>
          <w:iCs/>
          <w:noProof/>
        </w:rPr>
        <w:t>Alzheimer’s Dement Diagnosis, Assess Dis Monit</w:t>
      </w:r>
      <w:r w:rsidRPr="002D19B0">
        <w:rPr>
          <w:rFonts w:ascii="Times New Roman" w:hAnsi="Times New Roman"/>
          <w:noProof/>
        </w:rPr>
        <w:t>. 2016;4:28-36.</w:t>
      </w:r>
    </w:p>
    <w:p w14:paraId="1BA6A99A" w14:textId="77777777" w:rsidR="002D19B0" w:rsidRPr="002D19B0" w:rsidRDefault="002D19B0" w:rsidP="002D19B0">
      <w:pPr>
        <w:widowControl w:val="0"/>
        <w:autoSpaceDE w:val="0"/>
        <w:autoSpaceDN w:val="0"/>
        <w:adjustRightInd w:val="0"/>
        <w:spacing w:line="360" w:lineRule="auto"/>
        <w:ind w:left="640" w:hanging="640"/>
        <w:rPr>
          <w:rFonts w:ascii="Times New Roman" w:hAnsi="Times New Roman"/>
          <w:noProof/>
        </w:rPr>
      </w:pPr>
      <w:r w:rsidRPr="002D19B0">
        <w:rPr>
          <w:rFonts w:ascii="Times New Roman" w:hAnsi="Times New Roman"/>
          <w:noProof/>
        </w:rPr>
        <w:t xml:space="preserve">15. </w:t>
      </w:r>
      <w:r w:rsidRPr="002D19B0">
        <w:rPr>
          <w:rFonts w:ascii="Times New Roman" w:hAnsi="Times New Roman"/>
          <w:noProof/>
        </w:rPr>
        <w:tab/>
        <w:t xml:space="preserve">Cloutier S, Chertkow H, Kergoat M-J, Gauthier S, Belleville S. Patterns of cognitive decline prior to dementia in persons with mild cognitive impairment. </w:t>
      </w:r>
      <w:r w:rsidRPr="002D19B0">
        <w:rPr>
          <w:rFonts w:ascii="Times New Roman" w:hAnsi="Times New Roman"/>
          <w:i/>
          <w:iCs/>
          <w:noProof/>
        </w:rPr>
        <w:t>J Alzheimer’s Dis</w:t>
      </w:r>
      <w:r w:rsidRPr="002D19B0">
        <w:rPr>
          <w:rFonts w:ascii="Times New Roman" w:hAnsi="Times New Roman"/>
          <w:noProof/>
        </w:rPr>
        <w:t>. 2015;47(4):901-913.</w:t>
      </w:r>
    </w:p>
    <w:p w14:paraId="63C54931" w14:textId="77777777" w:rsidR="002D19B0" w:rsidRPr="002D19B0" w:rsidRDefault="002D19B0" w:rsidP="002D19B0">
      <w:pPr>
        <w:widowControl w:val="0"/>
        <w:autoSpaceDE w:val="0"/>
        <w:autoSpaceDN w:val="0"/>
        <w:adjustRightInd w:val="0"/>
        <w:spacing w:line="360" w:lineRule="auto"/>
        <w:ind w:left="640" w:hanging="640"/>
        <w:rPr>
          <w:rFonts w:ascii="Times New Roman" w:hAnsi="Times New Roman"/>
          <w:noProof/>
        </w:rPr>
      </w:pPr>
      <w:r w:rsidRPr="002D19B0">
        <w:rPr>
          <w:rFonts w:ascii="Times New Roman" w:hAnsi="Times New Roman"/>
          <w:noProof/>
        </w:rPr>
        <w:t xml:space="preserve">16. </w:t>
      </w:r>
      <w:r w:rsidRPr="002D19B0">
        <w:rPr>
          <w:rFonts w:ascii="Times New Roman" w:hAnsi="Times New Roman"/>
          <w:noProof/>
        </w:rPr>
        <w:tab/>
        <w:t xml:space="preserve">Han JW, Kim TH, Lee SB, et al. Predictive validity and diagnostic stability of mild cognitive impairment subtypes. </w:t>
      </w:r>
      <w:r w:rsidRPr="002D19B0">
        <w:rPr>
          <w:rFonts w:ascii="Times New Roman" w:hAnsi="Times New Roman"/>
          <w:i/>
          <w:iCs/>
          <w:noProof/>
        </w:rPr>
        <w:t>Alzheimer’s Dement</w:t>
      </w:r>
      <w:r w:rsidRPr="002D19B0">
        <w:rPr>
          <w:rFonts w:ascii="Times New Roman" w:hAnsi="Times New Roman"/>
          <w:noProof/>
        </w:rPr>
        <w:t>. 2012;8(6):553-559.</w:t>
      </w:r>
    </w:p>
    <w:p w14:paraId="2295CB3F" w14:textId="77777777" w:rsidR="002D19B0" w:rsidRPr="002D19B0" w:rsidRDefault="002D19B0" w:rsidP="002D19B0">
      <w:pPr>
        <w:widowControl w:val="0"/>
        <w:autoSpaceDE w:val="0"/>
        <w:autoSpaceDN w:val="0"/>
        <w:adjustRightInd w:val="0"/>
        <w:spacing w:line="360" w:lineRule="auto"/>
        <w:ind w:left="640" w:hanging="640"/>
        <w:rPr>
          <w:rFonts w:ascii="Times New Roman" w:hAnsi="Times New Roman"/>
          <w:noProof/>
        </w:rPr>
      </w:pPr>
      <w:r w:rsidRPr="002D19B0">
        <w:rPr>
          <w:rFonts w:ascii="Times New Roman" w:hAnsi="Times New Roman"/>
          <w:noProof/>
        </w:rPr>
        <w:t xml:space="preserve">17. </w:t>
      </w:r>
      <w:r w:rsidRPr="002D19B0">
        <w:rPr>
          <w:rFonts w:ascii="Times New Roman" w:hAnsi="Times New Roman"/>
          <w:noProof/>
        </w:rPr>
        <w:tab/>
        <w:t xml:space="preserve">Facal D, Guàrdia-Olmos J, Juncos-Rabadán O. Diagnostic transitions in mild cognitive impairment by use of simple Markov models. </w:t>
      </w:r>
      <w:r w:rsidRPr="002D19B0">
        <w:rPr>
          <w:rFonts w:ascii="Times New Roman" w:hAnsi="Times New Roman"/>
          <w:i/>
          <w:iCs/>
          <w:noProof/>
        </w:rPr>
        <w:t>Int J Geriatr Psychiatry</w:t>
      </w:r>
      <w:r w:rsidRPr="002D19B0">
        <w:rPr>
          <w:rFonts w:ascii="Times New Roman" w:hAnsi="Times New Roman"/>
          <w:noProof/>
        </w:rPr>
        <w:t>. 2015;30(7):669-676. doi:10.1002/gps.4197</w:t>
      </w:r>
    </w:p>
    <w:p w14:paraId="67A2FFAF" w14:textId="77777777" w:rsidR="002D19B0" w:rsidRPr="002D19B0" w:rsidRDefault="002D19B0" w:rsidP="002D19B0">
      <w:pPr>
        <w:widowControl w:val="0"/>
        <w:autoSpaceDE w:val="0"/>
        <w:autoSpaceDN w:val="0"/>
        <w:adjustRightInd w:val="0"/>
        <w:spacing w:line="360" w:lineRule="auto"/>
        <w:ind w:left="640" w:hanging="640"/>
        <w:rPr>
          <w:rFonts w:ascii="Times New Roman" w:hAnsi="Times New Roman"/>
          <w:noProof/>
        </w:rPr>
      </w:pPr>
      <w:r w:rsidRPr="002D19B0">
        <w:rPr>
          <w:rFonts w:ascii="Times New Roman" w:hAnsi="Times New Roman"/>
          <w:noProof/>
        </w:rPr>
        <w:t xml:space="preserve">18. </w:t>
      </w:r>
      <w:r w:rsidRPr="002D19B0">
        <w:rPr>
          <w:rFonts w:ascii="Times New Roman" w:hAnsi="Times New Roman"/>
          <w:noProof/>
        </w:rPr>
        <w:tab/>
        <w:t xml:space="preserve">Abu-Mostafa YS, Magdon-Ismail M, Lin H-T. </w:t>
      </w:r>
      <w:r w:rsidRPr="002D19B0">
        <w:rPr>
          <w:rFonts w:ascii="Times New Roman" w:hAnsi="Times New Roman"/>
          <w:i/>
          <w:iCs/>
          <w:noProof/>
        </w:rPr>
        <w:t>Learning from Data</w:t>
      </w:r>
      <w:r w:rsidRPr="002D19B0">
        <w:rPr>
          <w:rFonts w:ascii="Times New Roman" w:hAnsi="Times New Roman"/>
          <w:noProof/>
        </w:rPr>
        <w:t>. Vol 4. AMLBook New York, NY, USA:; 2012.</w:t>
      </w:r>
    </w:p>
    <w:p w14:paraId="7337C792" w14:textId="77777777" w:rsidR="002D19B0" w:rsidRPr="002D19B0" w:rsidRDefault="002D19B0" w:rsidP="002D19B0">
      <w:pPr>
        <w:widowControl w:val="0"/>
        <w:autoSpaceDE w:val="0"/>
        <w:autoSpaceDN w:val="0"/>
        <w:adjustRightInd w:val="0"/>
        <w:spacing w:line="360" w:lineRule="auto"/>
        <w:ind w:left="640" w:hanging="640"/>
        <w:rPr>
          <w:rFonts w:ascii="Times New Roman" w:hAnsi="Times New Roman"/>
          <w:noProof/>
        </w:rPr>
      </w:pPr>
      <w:r w:rsidRPr="00E12F44">
        <w:rPr>
          <w:rFonts w:ascii="Times New Roman" w:hAnsi="Times New Roman"/>
          <w:noProof/>
          <w:lang w:val="de-DE"/>
        </w:rPr>
        <w:t xml:space="preserve">19. </w:t>
      </w:r>
      <w:r w:rsidRPr="00E12F44">
        <w:rPr>
          <w:rFonts w:ascii="Times New Roman" w:hAnsi="Times New Roman"/>
          <w:noProof/>
          <w:lang w:val="de-DE"/>
        </w:rPr>
        <w:tab/>
        <w:t xml:space="preserve">Lehmann C, Koenig T, Jelic V, et al. </w:t>
      </w:r>
      <w:r w:rsidRPr="002D19B0">
        <w:rPr>
          <w:rFonts w:ascii="Times New Roman" w:hAnsi="Times New Roman"/>
          <w:noProof/>
        </w:rPr>
        <w:t xml:space="preserve">Application and comparison of classification algorithms for recognition of Alzheimer’s disease in electrical brain activity ({EEG}). </w:t>
      </w:r>
      <w:r w:rsidRPr="002D19B0">
        <w:rPr>
          <w:rFonts w:ascii="Times New Roman" w:hAnsi="Times New Roman"/>
          <w:i/>
          <w:iCs/>
          <w:noProof/>
        </w:rPr>
        <w:t>J Neurosci Methods</w:t>
      </w:r>
      <w:r w:rsidRPr="002D19B0">
        <w:rPr>
          <w:rFonts w:ascii="Times New Roman" w:hAnsi="Times New Roman"/>
          <w:noProof/>
        </w:rPr>
        <w:t>. 2007;161(2):342-350. doi:10.1016/j.jneumeth.2006.10.023</w:t>
      </w:r>
    </w:p>
    <w:p w14:paraId="3DF01491" w14:textId="77777777" w:rsidR="002D19B0" w:rsidRPr="002D19B0" w:rsidRDefault="002D19B0" w:rsidP="002D19B0">
      <w:pPr>
        <w:widowControl w:val="0"/>
        <w:autoSpaceDE w:val="0"/>
        <w:autoSpaceDN w:val="0"/>
        <w:adjustRightInd w:val="0"/>
        <w:spacing w:line="360" w:lineRule="auto"/>
        <w:ind w:left="640" w:hanging="640"/>
        <w:rPr>
          <w:rFonts w:ascii="Times New Roman" w:hAnsi="Times New Roman"/>
          <w:noProof/>
        </w:rPr>
      </w:pPr>
      <w:r w:rsidRPr="002D19B0">
        <w:rPr>
          <w:rFonts w:ascii="Times New Roman" w:hAnsi="Times New Roman"/>
          <w:noProof/>
        </w:rPr>
        <w:t xml:space="preserve">20. </w:t>
      </w:r>
      <w:r w:rsidRPr="002D19B0">
        <w:rPr>
          <w:rFonts w:ascii="Times New Roman" w:hAnsi="Times New Roman"/>
          <w:noProof/>
        </w:rPr>
        <w:tab/>
        <w:t xml:space="preserve">Tripoliti EE, Fotiadis DI, Argyropoulou M, Manis G. A six stage approach for the diagnosis of the Alzheimer’s disease based on fMRI data. </w:t>
      </w:r>
      <w:r w:rsidRPr="002D19B0">
        <w:rPr>
          <w:rFonts w:ascii="Times New Roman" w:hAnsi="Times New Roman"/>
          <w:i/>
          <w:iCs/>
          <w:noProof/>
        </w:rPr>
        <w:t>J Biomed Inform</w:t>
      </w:r>
      <w:r w:rsidRPr="002D19B0">
        <w:rPr>
          <w:rFonts w:ascii="Times New Roman" w:hAnsi="Times New Roman"/>
          <w:noProof/>
        </w:rPr>
        <w:t>. 2010;43(2):307-320.</w:t>
      </w:r>
    </w:p>
    <w:p w14:paraId="3E51C123" w14:textId="77777777" w:rsidR="002D19B0" w:rsidRPr="002D19B0" w:rsidRDefault="002D19B0" w:rsidP="002D19B0">
      <w:pPr>
        <w:widowControl w:val="0"/>
        <w:autoSpaceDE w:val="0"/>
        <w:autoSpaceDN w:val="0"/>
        <w:adjustRightInd w:val="0"/>
        <w:spacing w:line="360" w:lineRule="auto"/>
        <w:ind w:left="640" w:hanging="640"/>
        <w:rPr>
          <w:rFonts w:ascii="Times New Roman" w:hAnsi="Times New Roman"/>
          <w:noProof/>
        </w:rPr>
      </w:pPr>
      <w:r w:rsidRPr="002D19B0">
        <w:rPr>
          <w:rFonts w:ascii="Times New Roman" w:hAnsi="Times New Roman"/>
          <w:noProof/>
        </w:rPr>
        <w:t xml:space="preserve">21. </w:t>
      </w:r>
      <w:r w:rsidRPr="002D19B0">
        <w:rPr>
          <w:rFonts w:ascii="Times New Roman" w:hAnsi="Times New Roman"/>
          <w:noProof/>
        </w:rPr>
        <w:tab/>
        <w:t xml:space="preserve">Maroco J, Silva D, Rodrigues A, Guerreiro M, Santana I, de Mendonça A. Data mining methods in the prediction of Dementia: A real-data comparison of the accuracy, sensitivity and specificity of linear discriminant analysis, logistic regression, neural networks, support vector machines, classification trees and random forests. </w:t>
      </w:r>
      <w:r w:rsidRPr="002D19B0">
        <w:rPr>
          <w:rFonts w:ascii="Times New Roman" w:hAnsi="Times New Roman"/>
          <w:i/>
          <w:iCs/>
          <w:noProof/>
        </w:rPr>
        <w:t>BMC Res Notes</w:t>
      </w:r>
      <w:r w:rsidRPr="002D19B0">
        <w:rPr>
          <w:rFonts w:ascii="Times New Roman" w:hAnsi="Times New Roman"/>
          <w:noProof/>
        </w:rPr>
        <w:t>. 2011;4(1):299.</w:t>
      </w:r>
    </w:p>
    <w:p w14:paraId="616B39F9" w14:textId="77777777" w:rsidR="002D19B0" w:rsidRPr="00DC71B4" w:rsidRDefault="002D19B0" w:rsidP="002D19B0">
      <w:pPr>
        <w:widowControl w:val="0"/>
        <w:autoSpaceDE w:val="0"/>
        <w:autoSpaceDN w:val="0"/>
        <w:adjustRightInd w:val="0"/>
        <w:spacing w:line="360" w:lineRule="auto"/>
        <w:ind w:left="640" w:hanging="640"/>
        <w:rPr>
          <w:rFonts w:ascii="Times New Roman" w:hAnsi="Times New Roman"/>
          <w:noProof/>
          <w:lang w:val="en-US"/>
        </w:rPr>
      </w:pPr>
      <w:r w:rsidRPr="002D19B0">
        <w:rPr>
          <w:rFonts w:ascii="Times New Roman" w:hAnsi="Times New Roman"/>
          <w:noProof/>
        </w:rPr>
        <w:t xml:space="preserve">22. </w:t>
      </w:r>
      <w:r w:rsidRPr="002D19B0">
        <w:rPr>
          <w:rFonts w:ascii="Times New Roman" w:hAnsi="Times New Roman"/>
          <w:noProof/>
        </w:rPr>
        <w:tab/>
        <w:t xml:space="preserve">Patel MJ, Andreescu C, Price JC, Edelman KL, Reynolds CF, Aizenstein HJ. Machine learning approaches for integrating clinical and imaging features in late-life depression classification and response prediction. </w:t>
      </w:r>
      <w:r w:rsidRPr="00DC71B4">
        <w:rPr>
          <w:rFonts w:ascii="Times New Roman" w:hAnsi="Times New Roman"/>
          <w:i/>
          <w:iCs/>
          <w:noProof/>
          <w:lang w:val="en-US"/>
        </w:rPr>
        <w:t>Int J Geriatr Psychiatry</w:t>
      </w:r>
      <w:r w:rsidRPr="00DC71B4">
        <w:rPr>
          <w:rFonts w:ascii="Times New Roman" w:hAnsi="Times New Roman"/>
          <w:noProof/>
          <w:lang w:val="en-US"/>
        </w:rPr>
        <w:t>. 2015;30(10):1056-1067. https://www.ncbi.nlm.nih.gov/pmc/articles/PMC4683603/.</w:t>
      </w:r>
    </w:p>
    <w:p w14:paraId="699BF2A0" w14:textId="77777777" w:rsidR="002D19B0" w:rsidRPr="002D19B0" w:rsidRDefault="002D19B0" w:rsidP="002D19B0">
      <w:pPr>
        <w:widowControl w:val="0"/>
        <w:autoSpaceDE w:val="0"/>
        <w:autoSpaceDN w:val="0"/>
        <w:adjustRightInd w:val="0"/>
        <w:spacing w:line="360" w:lineRule="auto"/>
        <w:ind w:left="640" w:hanging="640"/>
        <w:rPr>
          <w:rFonts w:ascii="Times New Roman" w:hAnsi="Times New Roman"/>
          <w:noProof/>
        </w:rPr>
      </w:pPr>
      <w:r w:rsidRPr="00E12F44">
        <w:rPr>
          <w:rFonts w:ascii="Times New Roman" w:hAnsi="Times New Roman"/>
          <w:noProof/>
          <w:lang w:val="es-ES"/>
        </w:rPr>
        <w:t xml:space="preserve">23. </w:t>
      </w:r>
      <w:r w:rsidRPr="00E12F44">
        <w:rPr>
          <w:rFonts w:ascii="Times New Roman" w:hAnsi="Times New Roman"/>
          <w:noProof/>
          <w:lang w:val="es-ES"/>
        </w:rPr>
        <w:tab/>
        <w:t xml:space="preserve">Juncos-Rabadán O, Pereiro AX, Facal D, et al. </w:t>
      </w:r>
      <w:r w:rsidRPr="002D19B0">
        <w:rPr>
          <w:rFonts w:ascii="Times New Roman" w:hAnsi="Times New Roman"/>
          <w:noProof/>
        </w:rPr>
        <w:t xml:space="preserve">Prevalence and correlates of cognitive impairment in adults with subjective memory complaints in primary care centres. </w:t>
      </w:r>
      <w:r w:rsidRPr="002D19B0">
        <w:rPr>
          <w:rFonts w:ascii="Times New Roman" w:hAnsi="Times New Roman"/>
          <w:i/>
          <w:iCs/>
          <w:noProof/>
        </w:rPr>
        <w:t>Dement Geriatr Cogn Disord</w:t>
      </w:r>
      <w:r w:rsidRPr="002D19B0">
        <w:rPr>
          <w:rFonts w:ascii="Times New Roman" w:hAnsi="Times New Roman"/>
          <w:noProof/>
        </w:rPr>
        <w:t>. 2012;33(4):226-232.</w:t>
      </w:r>
    </w:p>
    <w:p w14:paraId="1EB7D6EB" w14:textId="77777777" w:rsidR="002D19B0" w:rsidRPr="002D19B0" w:rsidRDefault="002D19B0" w:rsidP="002D19B0">
      <w:pPr>
        <w:widowControl w:val="0"/>
        <w:autoSpaceDE w:val="0"/>
        <w:autoSpaceDN w:val="0"/>
        <w:adjustRightInd w:val="0"/>
        <w:spacing w:line="360" w:lineRule="auto"/>
        <w:ind w:left="640" w:hanging="640"/>
        <w:rPr>
          <w:rFonts w:ascii="Times New Roman" w:hAnsi="Times New Roman"/>
          <w:noProof/>
        </w:rPr>
      </w:pPr>
      <w:r w:rsidRPr="002D19B0">
        <w:rPr>
          <w:rFonts w:ascii="Times New Roman" w:hAnsi="Times New Roman"/>
          <w:noProof/>
        </w:rPr>
        <w:t xml:space="preserve">24. </w:t>
      </w:r>
      <w:r w:rsidRPr="002D19B0">
        <w:rPr>
          <w:rFonts w:ascii="Times New Roman" w:hAnsi="Times New Roman"/>
          <w:noProof/>
        </w:rPr>
        <w:tab/>
        <w:t xml:space="preserve">Albert MS, DeKosky ST, Dickson D, et al. The diagnosis of mild cognitive impairment due to Alzheimer’s disease: recommendations from the National Institute on Aging-Alzheimer’s Association workgroups on diagnostic guidelines for Alzheimer’s disease. </w:t>
      </w:r>
      <w:r w:rsidRPr="002D19B0">
        <w:rPr>
          <w:rFonts w:ascii="Times New Roman" w:hAnsi="Times New Roman"/>
          <w:i/>
          <w:iCs/>
          <w:noProof/>
        </w:rPr>
        <w:t>Alzheimers Dement</w:t>
      </w:r>
      <w:r w:rsidRPr="002D19B0">
        <w:rPr>
          <w:rFonts w:ascii="Times New Roman" w:hAnsi="Times New Roman"/>
          <w:noProof/>
        </w:rPr>
        <w:t>. 2011;7(3):270-279. doi:10.1016/j.jalz.2011.03.008</w:t>
      </w:r>
    </w:p>
    <w:p w14:paraId="0DBCB357" w14:textId="77777777" w:rsidR="002D19B0" w:rsidRPr="00E12F44" w:rsidRDefault="002D19B0" w:rsidP="002D19B0">
      <w:pPr>
        <w:widowControl w:val="0"/>
        <w:autoSpaceDE w:val="0"/>
        <w:autoSpaceDN w:val="0"/>
        <w:adjustRightInd w:val="0"/>
        <w:spacing w:line="360" w:lineRule="auto"/>
        <w:ind w:left="640" w:hanging="640"/>
        <w:rPr>
          <w:rFonts w:ascii="Times New Roman" w:hAnsi="Times New Roman"/>
          <w:noProof/>
          <w:lang w:val="de-DE"/>
        </w:rPr>
      </w:pPr>
      <w:r w:rsidRPr="002D19B0">
        <w:rPr>
          <w:rFonts w:ascii="Times New Roman" w:hAnsi="Times New Roman"/>
          <w:noProof/>
        </w:rPr>
        <w:t xml:space="preserve">25. </w:t>
      </w:r>
      <w:r w:rsidRPr="002D19B0">
        <w:rPr>
          <w:rFonts w:ascii="Times New Roman" w:hAnsi="Times New Roman"/>
          <w:noProof/>
        </w:rPr>
        <w:tab/>
        <w:t xml:space="preserve">Petersen RC. Mild cognitive impairment as a diagnostic entity. </w:t>
      </w:r>
      <w:r w:rsidRPr="00E12F44">
        <w:rPr>
          <w:rFonts w:ascii="Times New Roman" w:hAnsi="Times New Roman"/>
          <w:i/>
          <w:iCs/>
          <w:noProof/>
          <w:lang w:val="de-DE"/>
        </w:rPr>
        <w:t>J Intern Med</w:t>
      </w:r>
      <w:r w:rsidRPr="00E12F44">
        <w:rPr>
          <w:rFonts w:ascii="Times New Roman" w:hAnsi="Times New Roman"/>
          <w:noProof/>
          <w:lang w:val="de-DE"/>
        </w:rPr>
        <w:t>. 2004;256(3):183-194. https://onlinelibrary.wiley.com/doi/full/10.1111/j.1365-2796.2004.01388.x.</w:t>
      </w:r>
    </w:p>
    <w:p w14:paraId="1B38CC67" w14:textId="77777777" w:rsidR="002D19B0" w:rsidRPr="002D19B0" w:rsidRDefault="002D19B0" w:rsidP="002D19B0">
      <w:pPr>
        <w:widowControl w:val="0"/>
        <w:autoSpaceDE w:val="0"/>
        <w:autoSpaceDN w:val="0"/>
        <w:adjustRightInd w:val="0"/>
        <w:spacing w:line="360" w:lineRule="auto"/>
        <w:ind w:left="640" w:hanging="640"/>
        <w:rPr>
          <w:rFonts w:ascii="Times New Roman" w:hAnsi="Times New Roman"/>
          <w:noProof/>
        </w:rPr>
      </w:pPr>
      <w:r w:rsidRPr="00E12F44">
        <w:rPr>
          <w:rFonts w:ascii="Times New Roman" w:hAnsi="Times New Roman"/>
          <w:noProof/>
          <w:lang w:val="de-DE"/>
        </w:rPr>
        <w:t xml:space="preserve">26. </w:t>
      </w:r>
      <w:r w:rsidRPr="00E12F44">
        <w:rPr>
          <w:rFonts w:ascii="Times New Roman" w:hAnsi="Times New Roman"/>
          <w:noProof/>
          <w:lang w:val="de-DE"/>
        </w:rPr>
        <w:tab/>
        <w:t xml:space="preserve">Delis DC, Kramer JH, Kaplan E, Thompkins BAO. </w:t>
      </w:r>
      <w:r w:rsidRPr="002D19B0">
        <w:rPr>
          <w:rFonts w:ascii="Times New Roman" w:hAnsi="Times New Roman"/>
          <w:i/>
          <w:iCs/>
          <w:noProof/>
        </w:rPr>
        <w:t>CVLT: California Verbal Learning Test-Adult Version: Manual</w:t>
      </w:r>
      <w:r w:rsidRPr="002D19B0">
        <w:rPr>
          <w:rFonts w:ascii="Times New Roman" w:hAnsi="Times New Roman"/>
          <w:noProof/>
        </w:rPr>
        <w:t>. Psychologi. (Psychological Corporation 1987, ed.). San Antonio, Texas: Psychological Corporation; 1987.</w:t>
      </w:r>
    </w:p>
    <w:p w14:paraId="6D063CF1" w14:textId="77777777" w:rsidR="002D19B0" w:rsidRPr="00E12F44" w:rsidRDefault="002D19B0" w:rsidP="002D19B0">
      <w:pPr>
        <w:widowControl w:val="0"/>
        <w:autoSpaceDE w:val="0"/>
        <w:autoSpaceDN w:val="0"/>
        <w:adjustRightInd w:val="0"/>
        <w:spacing w:line="360" w:lineRule="auto"/>
        <w:ind w:left="640" w:hanging="640"/>
        <w:rPr>
          <w:rFonts w:ascii="Times New Roman" w:hAnsi="Times New Roman"/>
          <w:noProof/>
          <w:lang w:val="es-ES"/>
        </w:rPr>
      </w:pPr>
      <w:r w:rsidRPr="002D19B0">
        <w:rPr>
          <w:rFonts w:ascii="Times New Roman" w:hAnsi="Times New Roman"/>
          <w:noProof/>
        </w:rPr>
        <w:t xml:space="preserve">27. </w:t>
      </w:r>
      <w:r w:rsidRPr="002D19B0">
        <w:rPr>
          <w:rFonts w:ascii="Times New Roman" w:hAnsi="Times New Roman"/>
          <w:noProof/>
        </w:rPr>
        <w:tab/>
        <w:t xml:space="preserve">Benedet MJ, Alejandre MÁ. </w:t>
      </w:r>
      <w:r w:rsidRPr="00DC71B4">
        <w:rPr>
          <w:rFonts w:ascii="Times New Roman" w:hAnsi="Times New Roman"/>
          <w:i/>
          <w:iCs/>
          <w:noProof/>
          <w:lang w:val="es-ES"/>
        </w:rPr>
        <w:t>TAVEC: Test de Aprendizaje Verbal España-Complutense</w:t>
      </w:r>
      <w:r w:rsidRPr="00DC71B4">
        <w:rPr>
          <w:rFonts w:ascii="Times New Roman" w:hAnsi="Times New Roman"/>
          <w:noProof/>
          <w:lang w:val="es-ES"/>
        </w:rPr>
        <w:t xml:space="preserve">. </w:t>
      </w:r>
      <w:r w:rsidRPr="00E12F44">
        <w:rPr>
          <w:rFonts w:ascii="Times New Roman" w:hAnsi="Times New Roman"/>
          <w:noProof/>
          <w:lang w:val="es-ES"/>
        </w:rPr>
        <w:t>Tea Madrid; 1998.</w:t>
      </w:r>
    </w:p>
    <w:p w14:paraId="235CEC3A" w14:textId="77777777" w:rsidR="002D19B0" w:rsidRPr="00E12F44" w:rsidRDefault="002D19B0" w:rsidP="002D19B0">
      <w:pPr>
        <w:widowControl w:val="0"/>
        <w:autoSpaceDE w:val="0"/>
        <w:autoSpaceDN w:val="0"/>
        <w:adjustRightInd w:val="0"/>
        <w:spacing w:line="360" w:lineRule="auto"/>
        <w:ind w:left="640" w:hanging="640"/>
        <w:rPr>
          <w:rFonts w:ascii="Times New Roman" w:hAnsi="Times New Roman"/>
          <w:noProof/>
          <w:lang w:val="de-DE"/>
        </w:rPr>
      </w:pPr>
      <w:r w:rsidRPr="00E12F44">
        <w:rPr>
          <w:rFonts w:ascii="Times New Roman" w:hAnsi="Times New Roman"/>
          <w:noProof/>
          <w:lang w:val="es-ES"/>
        </w:rPr>
        <w:t xml:space="preserve">28. </w:t>
      </w:r>
      <w:r w:rsidRPr="00E12F44">
        <w:rPr>
          <w:rFonts w:ascii="Times New Roman" w:hAnsi="Times New Roman"/>
          <w:noProof/>
          <w:lang w:val="es-ES"/>
        </w:rPr>
        <w:tab/>
        <w:t xml:space="preserve">Conde-Sala JL, Garre-Olmo J, Vilalta-Franch J, et al. </w:t>
      </w:r>
      <w:r w:rsidRPr="002D19B0">
        <w:rPr>
          <w:rFonts w:ascii="Times New Roman" w:hAnsi="Times New Roman"/>
          <w:noProof/>
        </w:rPr>
        <w:t xml:space="preserve">Predictors of cognitive decline in Alzheimer’s disease and mild cognitive impairment using the CAMCOG: a five-year follow-up. </w:t>
      </w:r>
      <w:r w:rsidRPr="00E12F44">
        <w:rPr>
          <w:rFonts w:ascii="Times New Roman" w:hAnsi="Times New Roman"/>
          <w:i/>
          <w:iCs/>
          <w:noProof/>
          <w:lang w:val="de-DE"/>
        </w:rPr>
        <w:t>Int Psychogeriatrics</w:t>
      </w:r>
      <w:r w:rsidRPr="00E12F44">
        <w:rPr>
          <w:rFonts w:ascii="Times New Roman" w:hAnsi="Times New Roman"/>
          <w:noProof/>
          <w:lang w:val="de-DE"/>
        </w:rPr>
        <w:t>. 2012;24(6):948-958. https://www.cambridge.org/core/services/aop-cambridge-core/content/view/9C6D2CBAAE51305220F3EDBB0F167DF1/S1041610211002158a.pdf/predictors_of_cognitive_decline_in_alzheimers_disease_and_mild_cognitive_impairment_using_the_camcog_a_fiveyear_followup.pdf.</w:t>
      </w:r>
    </w:p>
    <w:p w14:paraId="3EDF3E85" w14:textId="77777777" w:rsidR="002D19B0" w:rsidRPr="002D19B0" w:rsidRDefault="002D19B0" w:rsidP="002D19B0">
      <w:pPr>
        <w:widowControl w:val="0"/>
        <w:autoSpaceDE w:val="0"/>
        <w:autoSpaceDN w:val="0"/>
        <w:adjustRightInd w:val="0"/>
        <w:spacing w:line="360" w:lineRule="auto"/>
        <w:ind w:left="640" w:hanging="640"/>
        <w:rPr>
          <w:rFonts w:ascii="Times New Roman" w:hAnsi="Times New Roman"/>
          <w:noProof/>
        </w:rPr>
      </w:pPr>
      <w:r w:rsidRPr="002D19B0">
        <w:rPr>
          <w:rFonts w:ascii="Times New Roman" w:hAnsi="Times New Roman"/>
          <w:noProof/>
        </w:rPr>
        <w:t xml:space="preserve">29. </w:t>
      </w:r>
      <w:r w:rsidRPr="002D19B0">
        <w:rPr>
          <w:rFonts w:ascii="Times New Roman" w:hAnsi="Times New Roman"/>
          <w:noProof/>
        </w:rPr>
        <w:tab/>
        <w:t xml:space="preserve">Dubois B, Feldman HH, Jacova C, et al. Research criteria for the diagnosis of Alzheimer’s disease: revising the NINCDS--ADRDA criteria. </w:t>
      </w:r>
      <w:r w:rsidRPr="002D19B0">
        <w:rPr>
          <w:rFonts w:ascii="Times New Roman" w:hAnsi="Times New Roman"/>
          <w:i/>
          <w:iCs/>
          <w:noProof/>
        </w:rPr>
        <w:t>Lancet Neurol</w:t>
      </w:r>
      <w:r w:rsidRPr="002D19B0">
        <w:rPr>
          <w:rFonts w:ascii="Times New Roman" w:hAnsi="Times New Roman"/>
          <w:noProof/>
        </w:rPr>
        <w:t>. 2007;6(8):734-746.</w:t>
      </w:r>
    </w:p>
    <w:p w14:paraId="156E38CE" w14:textId="77777777" w:rsidR="002D19B0" w:rsidRPr="00E12F44" w:rsidRDefault="002D19B0" w:rsidP="002D19B0">
      <w:pPr>
        <w:widowControl w:val="0"/>
        <w:autoSpaceDE w:val="0"/>
        <w:autoSpaceDN w:val="0"/>
        <w:adjustRightInd w:val="0"/>
        <w:spacing w:line="360" w:lineRule="auto"/>
        <w:ind w:left="640" w:hanging="640"/>
        <w:rPr>
          <w:rFonts w:ascii="Times New Roman" w:hAnsi="Times New Roman"/>
          <w:noProof/>
          <w:lang w:val="de-DE"/>
        </w:rPr>
      </w:pPr>
      <w:r w:rsidRPr="002D19B0">
        <w:rPr>
          <w:rFonts w:ascii="Times New Roman" w:hAnsi="Times New Roman"/>
          <w:noProof/>
        </w:rPr>
        <w:t xml:space="preserve">30. </w:t>
      </w:r>
      <w:r w:rsidRPr="002D19B0">
        <w:rPr>
          <w:rFonts w:ascii="Times New Roman" w:hAnsi="Times New Roman"/>
          <w:noProof/>
        </w:rPr>
        <w:tab/>
        <w:t xml:space="preserve">Jones RN, Manly J, Glymour MM, Rentz DM, Jefferson AL, Stern Y. Conceptual and measurement challenges in research on cognitive reserve. </w:t>
      </w:r>
      <w:r w:rsidRPr="00E12F44">
        <w:rPr>
          <w:rFonts w:ascii="Times New Roman" w:hAnsi="Times New Roman"/>
          <w:i/>
          <w:iCs/>
          <w:noProof/>
          <w:lang w:val="de-DE"/>
        </w:rPr>
        <w:t>J Int Neuropsychol Soc</w:t>
      </w:r>
      <w:r w:rsidRPr="00E12F44">
        <w:rPr>
          <w:rFonts w:ascii="Times New Roman" w:hAnsi="Times New Roman"/>
          <w:noProof/>
          <w:lang w:val="de-DE"/>
        </w:rPr>
        <w:t>. 2011;17(4):593-601. https://www.cambridge.org/core/services/aop-cambridge-core/content/view/C634271A2EEB94093997398182A4EE28/S1355617710001748a.pdf/div-class-title-conceptual-and-measurement-challenges-in-research-on-cognitive-reserve-div.pdf.</w:t>
      </w:r>
    </w:p>
    <w:p w14:paraId="4085EB10" w14:textId="77777777" w:rsidR="002D19B0" w:rsidRPr="002D19B0" w:rsidRDefault="002D19B0" w:rsidP="002D19B0">
      <w:pPr>
        <w:widowControl w:val="0"/>
        <w:autoSpaceDE w:val="0"/>
        <w:autoSpaceDN w:val="0"/>
        <w:adjustRightInd w:val="0"/>
        <w:spacing w:line="360" w:lineRule="auto"/>
        <w:ind w:left="640" w:hanging="640"/>
        <w:rPr>
          <w:rFonts w:ascii="Times New Roman" w:hAnsi="Times New Roman"/>
          <w:noProof/>
        </w:rPr>
      </w:pPr>
      <w:r w:rsidRPr="002D19B0">
        <w:rPr>
          <w:rFonts w:ascii="Times New Roman" w:hAnsi="Times New Roman"/>
          <w:noProof/>
        </w:rPr>
        <w:t xml:space="preserve">31. </w:t>
      </w:r>
      <w:r w:rsidRPr="002D19B0">
        <w:rPr>
          <w:rFonts w:ascii="Times New Roman" w:hAnsi="Times New Roman"/>
          <w:noProof/>
        </w:rPr>
        <w:tab/>
        <w:t xml:space="preserve">Wechsler D. </w:t>
      </w:r>
      <w:r w:rsidRPr="002D19B0">
        <w:rPr>
          <w:rFonts w:ascii="Times New Roman" w:hAnsi="Times New Roman"/>
          <w:i/>
          <w:iCs/>
          <w:noProof/>
        </w:rPr>
        <w:t>WAIS-III, Wechsler Adult Intelligence Scale: Administration and Scoring Manual</w:t>
      </w:r>
      <w:r w:rsidRPr="002D19B0">
        <w:rPr>
          <w:rFonts w:ascii="Times New Roman" w:hAnsi="Times New Roman"/>
          <w:noProof/>
        </w:rPr>
        <w:t>. Psychological Corporation; 1997.</w:t>
      </w:r>
    </w:p>
    <w:p w14:paraId="6C978F70" w14:textId="77777777" w:rsidR="002D19B0" w:rsidRPr="002D19B0" w:rsidRDefault="002D19B0" w:rsidP="002D19B0">
      <w:pPr>
        <w:widowControl w:val="0"/>
        <w:autoSpaceDE w:val="0"/>
        <w:autoSpaceDN w:val="0"/>
        <w:adjustRightInd w:val="0"/>
        <w:spacing w:line="360" w:lineRule="auto"/>
        <w:ind w:left="640" w:hanging="640"/>
        <w:rPr>
          <w:rFonts w:ascii="Times New Roman" w:hAnsi="Times New Roman"/>
          <w:noProof/>
        </w:rPr>
      </w:pPr>
      <w:r w:rsidRPr="002D19B0">
        <w:rPr>
          <w:rFonts w:ascii="Times New Roman" w:hAnsi="Times New Roman"/>
          <w:noProof/>
        </w:rPr>
        <w:t xml:space="preserve">32. </w:t>
      </w:r>
      <w:r w:rsidRPr="002D19B0">
        <w:rPr>
          <w:rFonts w:ascii="Times New Roman" w:hAnsi="Times New Roman"/>
          <w:noProof/>
        </w:rPr>
        <w:tab/>
        <w:t xml:space="preserve">Dunn LM, Dunn LM. </w:t>
      </w:r>
      <w:r w:rsidRPr="002D19B0">
        <w:rPr>
          <w:rFonts w:ascii="Times New Roman" w:hAnsi="Times New Roman"/>
          <w:i/>
          <w:iCs/>
          <w:noProof/>
        </w:rPr>
        <w:t>Peabody Picture Vocabulary Test, Revised: Forms L and M</w:t>
      </w:r>
      <w:r w:rsidRPr="002D19B0">
        <w:rPr>
          <w:rFonts w:ascii="Times New Roman" w:hAnsi="Times New Roman"/>
          <w:noProof/>
        </w:rPr>
        <w:t>. American Guidance Service; 1981.</w:t>
      </w:r>
    </w:p>
    <w:p w14:paraId="0D66B899" w14:textId="77777777" w:rsidR="002D19B0" w:rsidRPr="002D19B0" w:rsidRDefault="002D19B0" w:rsidP="002D19B0">
      <w:pPr>
        <w:widowControl w:val="0"/>
        <w:autoSpaceDE w:val="0"/>
        <w:autoSpaceDN w:val="0"/>
        <w:adjustRightInd w:val="0"/>
        <w:spacing w:line="360" w:lineRule="auto"/>
        <w:ind w:left="640" w:hanging="640"/>
        <w:rPr>
          <w:rFonts w:ascii="Times New Roman" w:hAnsi="Times New Roman"/>
          <w:noProof/>
        </w:rPr>
      </w:pPr>
      <w:r w:rsidRPr="002D19B0">
        <w:rPr>
          <w:rFonts w:ascii="Times New Roman" w:hAnsi="Times New Roman"/>
          <w:noProof/>
        </w:rPr>
        <w:t xml:space="preserve">33. </w:t>
      </w:r>
      <w:r w:rsidRPr="002D19B0">
        <w:rPr>
          <w:rFonts w:ascii="Times New Roman" w:hAnsi="Times New Roman"/>
          <w:noProof/>
        </w:rPr>
        <w:tab/>
        <w:t xml:space="preserve">Sanchez-Villegas A, Schlatter J, Ortuno F, et al. Validity of a self-reported diagnosis of depression among participants in a cohort study using the Structured Clinical Interview for DSM-IV (SCID-I). </w:t>
      </w:r>
      <w:r w:rsidRPr="002D19B0">
        <w:rPr>
          <w:rFonts w:ascii="Times New Roman" w:hAnsi="Times New Roman"/>
          <w:i/>
          <w:iCs/>
          <w:noProof/>
        </w:rPr>
        <w:t>BMC Psychiatry</w:t>
      </w:r>
      <w:r w:rsidRPr="002D19B0">
        <w:rPr>
          <w:rFonts w:ascii="Times New Roman" w:hAnsi="Times New Roman"/>
          <w:noProof/>
        </w:rPr>
        <w:t>. 2008;8(1):43.</w:t>
      </w:r>
    </w:p>
    <w:p w14:paraId="38C47144" w14:textId="77777777" w:rsidR="002D19B0" w:rsidRPr="00E12F44" w:rsidRDefault="002D19B0" w:rsidP="002D19B0">
      <w:pPr>
        <w:widowControl w:val="0"/>
        <w:autoSpaceDE w:val="0"/>
        <w:autoSpaceDN w:val="0"/>
        <w:adjustRightInd w:val="0"/>
        <w:spacing w:line="360" w:lineRule="auto"/>
        <w:ind w:left="640" w:hanging="640"/>
        <w:rPr>
          <w:rFonts w:ascii="Times New Roman" w:hAnsi="Times New Roman"/>
          <w:noProof/>
          <w:lang w:val="de-DE"/>
        </w:rPr>
      </w:pPr>
      <w:r w:rsidRPr="002D19B0">
        <w:rPr>
          <w:rFonts w:ascii="Times New Roman" w:hAnsi="Times New Roman"/>
          <w:noProof/>
        </w:rPr>
        <w:t xml:space="preserve">34. </w:t>
      </w:r>
      <w:r w:rsidRPr="002D19B0">
        <w:rPr>
          <w:rFonts w:ascii="Times New Roman" w:hAnsi="Times New Roman"/>
          <w:noProof/>
        </w:rPr>
        <w:tab/>
        <w:t xml:space="preserve">Pedregosa F, Varoquaux G, Gramfort A, et al. Scikit-learn: Machine learning in Python. </w:t>
      </w:r>
      <w:r w:rsidRPr="00E12F44">
        <w:rPr>
          <w:rFonts w:ascii="Times New Roman" w:hAnsi="Times New Roman"/>
          <w:i/>
          <w:iCs/>
          <w:noProof/>
          <w:lang w:val="de-DE"/>
        </w:rPr>
        <w:t>J Mach Learn Res</w:t>
      </w:r>
      <w:r w:rsidRPr="00E12F44">
        <w:rPr>
          <w:rFonts w:ascii="Times New Roman" w:hAnsi="Times New Roman"/>
          <w:noProof/>
          <w:lang w:val="de-DE"/>
        </w:rPr>
        <w:t>. 2011;12(Oct):2825-2830.</w:t>
      </w:r>
    </w:p>
    <w:p w14:paraId="633A1392" w14:textId="77777777" w:rsidR="002D19B0" w:rsidRPr="002D19B0" w:rsidRDefault="002D19B0" w:rsidP="002D19B0">
      <w:pPr>
        <w:widowControl w:val="0"/>
        <w:autoSpaceDE w:val="0"/>
        <w:autoSpaceDN w:val="0"/>
        <w:adjustRightInd w:val="0"/>
        <w:spacing w:line="360" w:lineRule="auto"/>
        <w:ind w:left="640" w:hanging="640"/>
        <w:rPr>
          <w:rFonts w:ascii="Times New Roman" w:hAnsi="Times New Roman"/>
          <w:noProof/>
        </w:rPr>
      </w:pPr>
      <w:r w:rsidRPr="00E12F44">
        <w:rPr>
          <w:rFonts w:ascii="Times New Roman" w:hAnsi="Times New Roman"/>
          <w:noProof/>
          <w:lang w:val="de-DE"/>
        </w:rPr>
        <w:t xml:space="preserve">35. </w:t>
      </w:r>
      <w:r w:rsidRPr="00E12F44">
        <w:rPr>
          <w:rFonts w:ascii="Times New Roman" w:hAnsi="Times New Roman"/>
          <w:noProof/>
          <w:lang w:val="de-DE"/>
        </w:rPr>
        <w:tab/>
        <w:t xml:space="preserve">Lehmann C, Koenig T, Jelic V, et al. </w:t>
      </w:r>
      <w:r w:rsidRPr="002D19B0">
        <w:rPr>
          <w:rFonts w:ascii="Times New Roman" w:hAnsi="Times New Roman"/>
          <w:noProof/>
        </w:rPr>
        <w:t xml:space="preserve">Application and comparison of classification algorithms for recognition of Alzheimer’s disease in electrical brain activity (EEG). </w:t>
      </w:r>
      <w:r w:rsidRPr="002D19B0">
        <w:rPr>
          <w:rFonts w:ascii="Times New Roman" w:hAnsi="Times New Roman"/>
          <w:i/>
          <w:iCs/>
          <w:noProof/>
        </w:rPr>
        <w:t>J Neurosci Methods</w:t>
      </w:r>
      <w:r w:rsidRPr="002D19B0">
        <w:rPr>
          <w:rFonts w:ascii="Times New Roman" w:hAnsi="Times New Roman"/>
          <w:noProof/>
        </w:rPr>
        <w:t>. 2007;161(2):342-350.</w:t>
      </w:r>
    </w:p>
    <w:p w14:paraId="460DA806" w14:textId="77777777" w:rsidR="002D19B0" w:rsidRPr="002D19B0" w:rsidRDefault="002D19B0" w:rsidP="002D19B0">
      <w:pPr>
        <w:widowControl w:val="0"/>
        <w:autoSpaceDE w:val="0"/>
        <w:autoSpaceDN w:val="0"/>
        <w:adjustRightInd w:val="0"/>
        <w:spacing w:line="360" w:lineRule="auto"/>
        <w:ind w:left="640" w:hanging="640"/>
        <w:rPr>
          <w:rFonts w:ascii="Times New Roman" w:hAnsi="Times New Roman"/>
          <w:noProof/>
        </w:rPr>
      </w:pPr>
      <w:r w:rsidRPr="002D19B0">
        <w:rPr>
          <w:rFonts w:ascii="Times New Roman" w:hAnsi="Times New Roman"/>
          <w:noProof/>
        </w:rPr>
        <w:t xml:space="preserve">36. </w:t>
      </w:r>
      <w:r w:rsidRPr="002D19B0">
        <w:rPr>
          <w:rFonts w:ascii="Times New Roman" w:hAnsi="Times New Roman"/>
          <w:noProof/>
        </w:rPr>
        <w:tab/>
        <w:t xml:space="preserve">Landis JR, Koch GG. The measurement of observer agreement for categorical data. </w:t>
      </w:r>
      <w:r w:rsidRPr="002D19B0">
        <w:rPr>
          <w:rFonts w:ascii="Times New Roman" w:hAnsi="Times New Roman"/>
          <w:i/>
          <w:iCs/>
          <w:noProof/>
        </w:rPr>
        <w:t>Biometrics</w:t>
      </w:r>
      <w:r w:rsidRPr="002D19B0">
        <w:rPr>
          <w:rFonts w:ascii="Times New Roman" w:hAnsi="Times New Roman"/>
          <w:noProof/>
        </w:rPr>
        <w:t>. 1977;33:159-174.</w:t>
      </w:r>
    </w:p>
    <w:p w14:paraId="14F3BBCF" w14:textId="77777777" w:rsidR="002D19B0" w:rsidRPr="002D19B0" w:rsidRDefault="002D19B0" w:rsidP="002D19B0">
      <w:pPr>
        <w:widowControl w:val="0"/>
        <w:autoSpaceDE w:val="0"/>
        <w:autoSpaceDN w:val="0"/>
        <w:adjustRightInd w:val="0"/>
        <w:spacing w:line="360" w:lineRule="auto"/>
        <w:ind w:left="640" w:hanging="640"/>
        <w:rPr>
          <w:rFonts w:ascii="Times New Roman" w:hAnsi="Times New Roman"/>
          <w:noProof/>
        </w:rPr>
      </w:pPr>
      <w:r w:rsidRPr="002D19B0">
        <w:rPr>
          <w:rFonts w:ascii="Times New Roman" w:hAnsi="Times New Roman"/>
          <w:noProof/>
        </w:rPr>
        <w:t xml:space="preserve">37. </w:t>
      </w:r>
      <w:r w:rsidRPr="002D19B0">
        <w:rPr>
          <w:rFonts w:ascii="Times New Roman" w:hAnsi="Times New Roman"/>
          <w:noProof/>
        </w:rPr>
        <w:tab/>
        <w:t xml:space="preserve">Fritsch T, Smyth KA, McClendon MJ, et al. Associations between dementia/mild cognitive impairment and cognitive performance and activity levels in youth. </w:t>
      </w:r>
      <w:r w:rsidRPr="002D19B0">
        <w:rPr>
          <w:rFonts w:ascii="Times New Roman" w:hAnsi="Times New Roman"/>
          <w:i/>
          <w:iCs/>
          <w:noProof/>
        </w:rPr>
        <w:t>J Am Geriatr Soc</w:t>
      </w:r>
      <w:r w:rsidRPr="002D19B0">
        <w:rPr>
          <w:rFonts w:ascii="Times New Roman" w:hAnsi="Times New Roman"/>
          <w:noProof/>
        </w:rPr>
        <w:t>. 2005;53(7):1191-1196.</w:t>
      </w:r>
    </w:p>
    <w:p w14:paraId="6578AE91" w14:textId="77777777" w:rsidR="002D19B0" w:rsidRPr="002D19B0" w:rsidRDefault="002D19B0" w:rsidP="002D19B0">
      <w:pPr>
        <w:widowControl w:val="0"/>
        <w:autoSpaceDE w:val="0"/>
        <w:autoSpaceDN w:val="0"/>
        <w:adjustRightInd w:val="0"/>
        <w:spacing w:line="360" w:lineRule="auto"/>
        <w:ind w:left="640" w:hanging="640"/>
        <w:rPr>
          <w:rFonts w:ascii="Times New Roman" w:hAnsi="Times New Roman"/>
          <w:noProof/>
        </w:rPr>
      </w:pPr>
      <w:r w:rsidRPr="002D19B0">
        <w:rPr>
          <w:rFonts w:ascii="Times New Roman" w:hAnsi="Times New Roman"/>
          <w:noProof/>
        </w:rPr>
        <w:t xml:space="preserve">38. </w:t>
      </w:r>
      <w:r w:rsidRPr="002D19B0">
        <w:rPr>
          <w:rFonts w:ascii="Times New Roman" w:hAnsi="Times New Roman"/>
          <w:noProof/>
        </w:rPr>
        <w:tab/>
        <w:t xml:space="preserve">Juncos-Rabadán O, Pereiro AX, Facal D, Reboredo A, Lojo-Seoane C. Do the Cambridge Neuropsychological Test Automated Battery episodic memory measures discriminate amnestic mild cognitive impairment? </w:t>
      </w:r>
      <w:r w:rsidRPr="002D19B0">
        <w:rPr>
          <w:rFonts w:ascii="Times New Roman" w:hAnsi="Times New Roman"/>
          <w:i/>
          <w:iCs/>
          <w:noProof/>
        </w:rPr>
        <w:t>Int J Geriatr Psychiatry</w:t>
      </w:r>
      <w:r w:rsidRPr="002D19B0">
        <w:rPr>
          <w:rFonts w:ascii="Times New Roman" w:hAnsi="Times New Roman"/>
          <w:noProof/>
        </w:rPr>
        <w:t>. 2014;29(6):602-609.</w:t>
      </w:r>
    </w:p>
    <w:p w14:paraId="61CDDD9F" w14:textId="77777777" w:rsidR="002D19B0" w:rsidRPr="002D19B0" w:rsidRDefault="002D19B0" w:rsidP="002D19B0">
      <w:pPr>
        <w:widowControl w:val="0"/>
        <w:autoSpaceDE w:val="0"/>
        <w:autoSpaceDN w:val="0"/>
        <w:adjustRightInd w:val="0"/>
        <w:spacing w:line="360" w:lineRule="auto"/>
        <w:ind w:left="640" w:hanging="640"/>
        <w:rPr>
          <w:rFonts w:ascii="Times New Roman" w:hAnsi="Times New Roman"/>
          <w:noProof/>
        </w:rPr>
      </w:pPr>
      <w:r w:rsidRPr="002D19B0">
        <w:rPr>
          <w:rFonts w:ascii="Times New Roman" w:hAnsi="Times New Roman"/>
          <w:noProof/>
        </w:rPr>
        <w:t xml:space="preserve">39. </w:t>
      </w:r>
      <w:r w:rsidRPr="002D19B0">
        <w:rPr>
          <w:rFonts w:ascii="Times New Roman" w:hAnsi="Times New Roman"/>
          <w:noProof/>
        </w:rPr>
        <w:tab/>
        <w:t xml:space="preserve">Solé-Padullés C, Bartrés-Faz D, Junqué C, et al. Brain structure and function related to cognitive reserve variables in normal aging, mild cognitive impairment and Alzheimer’s disease. </w:t>
      </w:r>
      <w:r w:rsidRPr="002D19B0">
        <w:rPr>
          <w:rFonts w:ascii="Times New Roman" w:hAnsi="Times New Roman"/>
          <w:i/>
          <w:iCs/>
          <w:noProof/>
        </w:rPr>
        <w:t>Neurobiol Aging</w:t>
      </w:r>
      <w:r w:rsidRPr="002D19B0">
        <w:rPr>
          <w:rFonts w:ascii="Times New Roman" w:hAnsi="Times New Roman"/>
          <w:noProof/>
        </w:rPr>
        <w:t>. 2009;30(7):1114-1124.</w:t>
      </w:r>
    </w:p>
    <w:p w14:paraId="31BBFAA6" w14:textId="77777777" w:rsidR="002D19B0" w:rsidRPr="002D19B0" w:rsidRDefault="002D19B0" w:rsidP="002D19B0">
      <w:pPr>
        <w:widowControl w:val="0"/>
        <w:autoSpaceDE w:val="0"/>
        <w:autoSpaceDN w:val="0"/>
        <w:adjustRightInd w:val="0"/>
        <w:spacing w:line="360" w:lineRule="auto"/>
        <w:ind w:left="640" w:hanging="640"/>
        <w:rPr>
          <w:rFonts w:ascii="Times New Roman" w:hAnsi="Times New Roman"/>
          <w:noProof/>
        </w:rPr>
      </w:pPr>
      <w:r w:rsidRPr="002D19B0">
        <w:rPr>
          <w:rFonts w:ascii="Times New Roman" w:hAnsi="Times New Roman"/>
          <w:noProof/>
        </w:rPr>
        <w:t xml:space="preserve">40. </w:t>
      </w:r>
      <w:r w:rsidRPr="002D19B0">
        <w:rPr>
          <w:rFonts w:ascii="Times New Roman" w:hAnsi="Times New Roman"/>
          <w:noProof/>
        </w:rPr>
        <w:tab/>
        <w:t xml:space="preserve">del Carmen Díaz-Mardomingo M, García-Herranz S, Rodríguez-Fernández R, Venero C, Peraita H. Problems in classifying mild cognitive impairment (MCI): One or multiple syndromes? </w:t>
      </w:r>
      <w:r w:rsidRPr="002D19B0">
        <w:rPr>
          <w:rFonts w:ascii="Times New Roman" w:hAnsi="Times New Roman"/>
          <w:i/>
          <w:iCs/>
          <w:noProof/>
        </w:rPr>
        <w:t>Brain Sci</w:t>
      </w:r>
      <w:r w:rsidRPr="002D19B0">
        <w:rPr>
          <w:rFonts w:ascii="Times New Roman" w:hAnsi="Times New Roman"/>
          <w:noProof/>
        </w:rPr>
        <w:t>. 2017;7(9). doi:10.3390/brainsci7090111</w:t>
      </w:r>
    </w:p>
    <w:p w14:paraId="138B7CA3" w14:textId="77777777" w:rsidR="002D19B0" w:rsidRPr="002D19B0" w:rsidRDefault="002D19B0" w:rsidP="002D19B0">
      <w:pPr>
        <w:widowControl w:val="0"/>
        <w:autoSpaceDE w:val="0"/>
        <w:autoSpaceDN w:val="0"/>
        <w:adjustRightInd w:val="0"/>
        <w:spacing w:line="360" w:lineRule="auto"/>
        <w:ind w:left="640" w:hanging="640"/>
        <w:rPr>
          <w:rFonts w:ascii="Times New Roman" w:hAnsi="Times New Roman"/>
          <w:noProof/>
        </w:rPr>
      </w:pPr>
      <w:r w:rsidRPr="002D19B0">
        <w:rPr>
          <w:rFonts w:ascii="Times New Roman" w:hAnsi="Times New Roman"/>
          <w:noProof/>
        </w:rPr>
        <w:t xml:space="preserve">41. </w:t>
      </w:r>
      <w:r w:rsidRPr="002D19B0">
        <w:rPr>
          <w:rFonts w:ascii="Times New Roman" w:hAnsi="Times New Roman"/>
          <w:noProof/>
        </w:rPr>
        <w:tab/>
        <w:t xml:space="preserve">Fang ML, Coatta K, Badger M, et al. </w:t>
      </w:r>
      <w:r w:rsidRPr="002D19B0">
        <w:rPr>
          <w:rFonts w:ascii="Times New Roman" w:hAnsi="Times New Roman"/>
          <w:i/>
          <w:iCs/>
          <w:noProof/>
        </w:rPr>
        <w:t>Informing Understandings of Mild Cognitive Impairment for Older Adults: Implications from a Scoping Review</w:t>
      </w:r>
      <w:r w:rsidRPr="002D19B0">
        <w:rPr>
          <w:rFonts w:ascii="Times New Roman" w:hAnsi="Times New Roman"/>
          <w:noProof/>
        </w:rPr>
        <w:t>. Vol 36.; 2017. doi:10.1177/0733464815589987</w:t>
      </w:r>
    </w:p>
    <w:p w14:paraId="2D5A90F7" w14:textId="77777777" w:rsidR="00A91734" w:rsidRDefault="00A91734" w:rsidP="00A91734">
      <w:pPr>
        <w:pStyle w:val="Prrafodelista"/>
        <w:widowControl w:val="0"/>
        <w:autoSpaceDE w:val="0"/>
        <w:autoSpaceDN w:val="0"/>
        <w:adjustRightInd w:val="0"/>
        <w:spacing w:line="360" w:lineRule="auto"/>
        <w:ind w:left="360" w:hanging="360"/>
        <w:rPr>
          <w:rFonts w:ascii="Times New Roman" w:eastAsia="Times New Roman" w:hAnsi="Times New Roman"/>
          <w:color w:val="1C1D1E"/>
        </w:rPr>
      </w:pPr>
      <w:r w:rsidRPr="00886897">
        <w:rPr>
          <w:rFonts w:ascii="Times New Roman" w:hAnsi="Times New Roman"/>
          <w:noProof/>
          <w:lang w:eastAsia="ja-JP"/>
        </w:rPr>
        <w:fldChar w:fldCharType="end"/>
      </w:r>
    </w:p>
    <w:p w14:paraId="067816A5" w14:textId="77777777" w:rsidR="00A91734" w:rsidRDefault="00A91734" w:rsidP="54AFCCBD">
      <w:pPr>
        <w:spacing w:line="360" w:lineRule="auto"/>
        <w:rPr>
          <w:rFonts w:ascii="Times New Roman" w:eastAsia="Times New Roman" w:hAnsi="Times New Roman"/>
          <w:color w:val="1C1D1E"/>
        </w:rPr>
      </w:pPr>
    </w:p>
    <w:p w14:paraId="48097349" w14:textId="77777777" w:rsidR="00A91734" w:rsidRDefault="00A91734" w:rsidP="54AFCCBD">
      <w:pPr>
        <w:spacing w:line="360" w:lineRule="auto"/>
        <w:rPr>
          <w:rFonts w:ascii="Times New Roman" w:eastAsia="Times New Roman" w:hAnsi="Times New Roman"/>
          <w:color w:val="1C1D1E"/>
        </w:rPr>
      </w:pPr>
    </w:p>
    <w:p w14:paraId="2D988BF7" w14:textId="77777777" w:rsidR="00CF312B" w:rsidRPr="000B70C6" w:rsidRDefault="00CF312B" w:rsidP="00844E2C">
      <w:pPr>
        <w:spacing w:line="360" w:lineRule="auto"/>
        <w:rPr>
          <w:rFonts w:ascii="Times New Roman" w:eastAsia="Times New Roman" w:hAnsi="Times New Roman"/>
          <w:color w:val="1C1D1E"/>
        </w:rPr>
        <w:sectPr w:rsidR="00CF312B" w:rsidRPr="000B70C6">
          <w:pgSz w:w="11900" w:h="16840"/>
          <w:pgMar w:top="1417" w:right="1701" w:bottom="1417" w:left="1701" w:header="708" w:footer="708" w:gutter="0"/>
          <w:cols w:space="708"/>
          <w:docGrid w:linePitch="360"/>
        </w:sectPr>
      </w:pPr>
    </w:p>
    <w:p w14:paraId="503E5168" w14:textId="77777777" w:rsidR="00EF12E6" w:rsidRDefault="00EF12E6" w:rsidP="008F5C12"/>
    <w:p w14:paraId="01C5D1FC" w14:textId="77777777" w:rsidR="00EF12E6" w:rsidRDefault="00EF12E6" w:rsidP="00EF12E6">
      <w:pPr>
        <w:spacing w:line="360" w:lineRule="auto"/>
        <w:rPr>
          <w:rFonts w:ascii="Times New Roman" w:eastAsia="Times New Roman" w:hAnsi="Times New Roman"/>
          <w:color w:val="1C1D1E"/>
          <w:sz w:val="22"/>
          <w:szCs w:val="22"/>
          <w:shd w:val="clear" w:color="auto" w:fill="FFFFFF"/>
        </w:rPr>
      </w:pPr>
      <w:r>
        <w:rPr>
          <w:rFonts w:ascii="Times New Roman" w:eastAsia="Times New Roman" w:hAnsi="Times New Roman"/>
          <w:color w:val="1C1D1E"/>
          <w:sz w:val="22"/>
          <w:szCs w:val="22"/>
          <w:shd w:val="clear" w:color="auto" w:fill="FFFFFF"/>
        </w:rPr>
        <w:t>Table 1</w:t>
      </w:r>
      <w:r w:rsidRPr="000B70C6">
        <w:rPr>
          <w:rFonts w:ascii="Times New Roman" w:eastAsia="Times New Roman" w:hAnsi="Times New Roman"/>
          <w:color w:val="1C1D1E"/>
          <w:sz w:val="22"/>
          <w:szCs w:val="22"/>
          <w:shd w:val="clear" w:color="auto" w:fill="FFFFFF"/>
        </w:rPr>
        <w:t xml:space="preserve">. </w:t>
      </w:r>
      <w:r>
        <w:rPr>
          <w:rFonts w:ascii="Times New Roman" w:eastAsia="Times New Roman" w:hAnsi="Times New Roman"/>
          <w:color w:val="1C1D1E"/>
          <w:sz w:val="22"/>
          <w:szCs w:val="22"/>
          <w:shd w:val="clear" w:color="auto" w:fill="FFFFFF"/>
        </w:rPr>
        <w:t>Baseline d</w:t>
      </w:r>
      <w:r w:rsidRPr="000B70C6">
        <w:rPr>
          <w:rFonts w:ascii="Times New Roman" w:eastAsia="Times New Roman" w:hAnsi="Times New Roman"/>
          <w:color w:val="1C1D1E"/>
          <w:sz w:val="22"/>
          <w:szCs w:val="22"/>
          <w:shd w:val="clear" w:color="auto" w:fill="FFFFFF"/>
        </w:rPr>
        <w:t xml:space="preserve">emographic, health status and cognitive reserve </w:t>
      </w:r>
      <w:r>
        <w:rPr>
          <w:rFonts w:ascii="Times New Roman" w:eastAsia="Times New Roman" w:hAnsi="Times New Roman"/>
          <w:color w:val="1C1D1E"/>
          <w:sz w:val="22"/>
          <w:szCs w:val="22"/>
          <w:shd w:val="clear" w:color="auto" w:fill="FFFFFF"/>
        </w:rPr>
        <w:t>data for each</w:t>
      </w:r>
      <w:r w:rsidRPr="000B70C6">
        <w:rPr>
          <w:rFonts w:ascii="Times New Roman" w:eastAsia="Times New Roman" w:hAnsi="Times New Roman"/>
          <w:color w:val="1C1D1E"/>
          <w:sz w:val="22"/>
          <w:szCs w:val="22"/>
          <w:shd w:val="clear" w:color="auto" w:fill="FFFFFF"/>
        </w:rPr>
        <w:t xml:space="preserve"> diagnostic group. </w:t>
      </w:r>
      <w:r>
        <w:rPr>
          <w:rFonts w:ascii="Times New Roman" w:eastAsia="Times New Roman" w:hAnsi="Times New Roman"/>
          <w:color w:val="1C1D1E"/>
          <w:sz w:val="22"/>
          <w:szCs w:val="22"/>
          <w:shd w:val="clear" w:color="auto" w:fill="FFFFFF"/>
        </w:rPr>
        <w:t>F</w:t>
      </w:r>
      <w:r w:rsidRPr="000B70C6">
        <w:rPr>
          <w:rFonts w:ascii="Times New Roman" w:eastAsia="Times New Roman" w:hAnsi="Times New Roman"/>
          <w:color w:val="1C1D1E"/>
          <w:sz w:val="22"/>
          <w:szCs w:val="22"/>
          <w:shd w:val="clear" w:color="auto" w:fill="FFFFFF"/>
        </w:rPr>
        <w:t>or numerical variables</w:t>
      </w:r>
      <w:r>
        <w:rPr>
          <w:rFonts w:ascii="Times New Roman" w:eastAsia="Times New Roman" w:hAnsi="Times New Roman"/>
          <w:color w:val="1C1D1E"/>
          <w:sz w:val="22"/>
          <w:szCs w:val="22"/>
          <w:shd w:val="clear" w:color="auto" w:fill="FFFFFF"/>
        </w:rPr>
        <w:t>, the values shown are</w:t>
      </w:r>
      <w:r w:rsidRPr="000B70C6" w:rsidDel="007C311B">
        <w:rPr>
          <w:rFonts w:ascii="Times New Roman" w:eastAsia="Times New Roman" w:hAnsi="Times New Roman"/>
          <w:color w:val="1C1D1E"/>
          <w:sz w:val="22"/>
          <w:szCs w:val="22"/>
          <w:shd w:val="clear" w:color="auto" w:fill="FFFFFF"/>
        </w:rPr>
        <w:t xml:space="preserve"> </w:t>
      </w:r>
      <w:r w:rsidRPr="000B70C6">
        <w:rPr>
          <w:rFonts w:ascii="Times New Roman" w:eastAsia="Times New Roman" w:hAnsi="Times New Roman"/>
          <w:color w:val="1C1D1E"/>
          <w:sz w:val="22"/>
          <w:szCs w:val="22"/>
          <w:shd w:val="clear" w:color="auto" w:fill="FFFFFF"/>
        </w:rPr>
        <w:t>mean</w:t>
      </w:r>
      <w:r>
        <w:rPr>
          <w:rFonts w:ascii="Times New Roman" w:eastAsia="Times New Roman" w:hAnsi="Times New Roman"/>
          <w:color w:val="1C1D1E"/>
          <w:sz w:val="22"/>
          <w:szCs w:val="22"/>
          <w:shd w:val="clear" w:color="auto" w:fill="FFFFFF"/>
        </w:rPr>
        <w:t>s (and</w:t>
      </w:r>
      <w:r w:rsidRPr="000B70C6">
        <w:rPr>
          <w:rFonts w:ascii="Times New Roman" w:eastAsia="Times New Roman" w:hAnsi="Times New Roman"/>
          <w:color w:val="1C1D1E"/>
          <w:sz w:val="22"/>
          <w:szCs w:val="22"/>
          <w:shd w:val="clear" w:color="auto" w:fill="FFFFFF"/>
        </w:rPr>
        <w:t xml:space="preserve"> standard deviations)</w:t>
      </w:r>
      <w:r>
        <w:rPr>
          <w:rFonts w:ascii="Times New Roman" w:eastAsia="Times New Roman" w:hAnsi="Times New Roman"/>
          <w:color w:val="1C1D1E"/>
          <w:sz w:val="22"/>
          <w:szCs w:val="22"/>
          <w:shd w:val="clear" w:color="auto" w:fill="FFFFFF"/>
        </w:rPr>
        <w:t>.</w:t>
      </w:r>
      <w:r w:rsidRPr="000B70C6">
        <w:rPr>
          <w:rFonts w:ascii="Times New Roman" w:eastAsia="Times New Roman" w:hAnsi="Times New Roman"/>
          <w:color w:val="1C1D1E"/>
          <w:sz w:val="22"/>
          <w:szCs w:val="22"/>
          <w:shd w:val="clear" w:color="auto" w:fill="FFFFFF"/>
        </w:rPr>
        <w:t xml:space="preserve"> </w:t>
      </w:r>
      <w:r>
        <w:rPr>
          <w:rFonts w:ascii="Times New Roman" w:eastAsia="Times New Roman" w:hAnsi="Times New Roman"/>
          <w:color w:val="1C1D1E"/>
          <w:sz w:val="22"/>
          <w:szCs w:val="22"/>
          <w:shd w:val="clear" w:color="auto" w:fill="FFFFFF"/>
        </w:rPr>
        <w:t>F</w:t>
      </w:r>
      <w:r w:rsidRPr="000B70C6">
        <w:rPr>
          <w:rFonts w:ascii="Times New Roman" w:eastAsia="Times New Roman" w:hAnsi="Times New Roman"/>
          <w:color w:val="1C1D1E"/>
          <w:sz w:val="22"/>
          <w:szCs w:val="22"/>
          <w:shd w:val="clear" w:color="auto" w:fill="FFFFFF"/>
        </w:rPr>
        <w:t>or categorical variables</w:t>
      </w:r>
      <w:r>
        <w:rPr>
          <w:rFonts w:ascii="Times New Roman" w:eastAsia="Times New Roman" w:hAnsi="Times New Roman"/>
          <w:color w:val="1C1D1E"/>
          <w:sz w:val="22"/>
          <w:szCs w:val="22"/>
          <w:shd w:val="clear" w:color="auto" w:fill="FFFFFF"/>
        </w:rPr>
        <w:t>, the values are</w:t>
      </w:r>
      <w:r w:rsidRPr="000B70C6">
        <w:rPr>
          <w:rFonts w:ascii="Times New Roman" w:eastAsia="Times New Roman" w:hAnsi="Times New Roman"/>
          <w:color w:val="1C1D1E"/>
          <w:sz w:val="22"/>
          <w:szCs w:val="22"/>
          <w:shd w:val="clear" w:color="auto" w:fill="FFFFFF"/>
        </w:rPr>
        <w:t xml:space="preserve"> frequenc</w:t>
      </w:r>
      <w:r>
        <w:rPr>
          <w:rFonts w:ascii="Times New Roman" w:eastAsia="Times New Roman" w:hAnsi="Times New Roman"/>
          <w:color w:val="1C1D1E"/>
          <w:sz w:val="22"/>
          <w:szCs w:val="22"/>
          <w:shd w:val="clear" w:color="auto" w:fill="FFFFFF"/>
        </w:rPr>
        <w:t>ies (</w:t>
      </w:r>
      <w:r w:rsidRPr="000B70C6">
        <w:rPr>
          <w:rFonts w:ascii="Times New Roman" w:eastAsia="Times New Roman" w:hAnsi="Times New Roman"/>
          <w:color w:val="1C1D1E"/>
          <w:sz w:val="22"/>
          <w:szCs w:val="22"/>
          <w:shd w:val="clear" w:color="auto" w:fill="FFFFFF"/>
        </w:rPr>
        <w:t>and percentage</w:t>
      </w:r>
      <w:r>
        <w:rPr>
          <w:rFonts w:ascii="Times New Roman" w:eastAsia="Times New Roman" w:hAnsi="Times New Roman"/>
          <w:color w:val="1C1D1E"/>
          <w:sz w:val="22"/>
          <w:szCs w:val="22"/>
          <w:shd w:val="clear" w:color="auto" w:fill="FFFFFF"/>
        </w:rPr>
        <w:t>s</w:t>
      </w:r>
      <w:r w:rsidRPr="000B70C6">
        <w:rPr>
          <w:rFonts w:ascii="Times New Roman" w:eastAsia="Times New Roman" w:hAnsi="Times New Roman"/>
          <w:color w:val="1C1D1E"/>
          <w:sz w:val="22"/>
          <w:szCs w:val="22"/>
          <w:shd w:val="clear" w:color="auto" w:fill="FFFFFF"/>
        </w:rPr>
        <w:t>).</w:t>
      </w:r>
    </w:p>
    <w:tbl>
      <w:tblPr>
        <w:tblW w:w="90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7"/>
        <w:gridCol w:w="1414"/>
        <w:gridCol w:w="1414"/>
        <w:gridCol w:w="1414"/>
        <w:gridCol w:w="1442"/>
        <w:gridCol w:w="1414"/>
      </w:tblGrid>
      <w:tr w:rsidR="00EF12E6" w:rsidRPr="00991A6F" w14:paraId="24F0B2A7" w14:textId="77777777" w:rsidTr="00886897">
        <w:trPr>
          <w:trHeight w:val="772"/>
        </w:trPr>
        <w:tc>
          <w:tcPr>
            <w:tcW w:w="1937" w:type="dxa"/>
            <w:shd w:val="clear" w:color="auto" w:fill="auto"/>
          </w:tcPr>
          <w:p w14:paraId="1D1563CD" w14:textId="77777777" w:rsidR="00EF12E6" w:rsidRPr="00991A6F" w:rsidRDefault="00EF12E6" w:rsidP="00886897">
            <w:pPr>
              <w:spacing w:line="360" w:lineRule="auto"/>
              <w:rPr>
                <w:rFonts w:ascii="Times New Roman" w:eastAsia="Times New Roman" w:hAnsi="Times New Roman"/>
                <w:color w:val="1C1D1E"/>
                <w:sz w:val="22"/>
                <w:szCs w:val="22"/>
              </w:rPr>
            </w:pPr>
          </w:p>
        </w:tc>
        <w:tc>
          <w:tcPr>
            <w:tcW w:w="1414" w:type="dxa"/>
            <w:shd w:val="clear" w:color="auto" w:fill="auto"/>
          </w:tcPr>
          <w:p w14:paraId="58A26C3E"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ma-MCI</w:t>
            </w:r>
          </w:p>
        </w:tc>
        <w:tc>
          <w:tcPr>
            <w:tcW w:w="1414" w:type="dxa"/>
            <w:shd w:val="clear" w:color="auto" w:fill="auto"/>
          </w:tcPr>
          <w:p w14:paraId="6A1F5CEA"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na-MCI</w:t>
            </w:r>
          </w:p>
        </w:tc>
        <w:tc>
          <w:tcPr>
            <w:tcW w:w="1414" w:type="dxa"/>
            <w:shd w:val="clear" w:color="auto" w:fill="auto"/>
          </w:tcPr>
          <w:p w14:paraId="503C6768"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sda-MCI</w:t>
            </w:r>
          </w:p>
        </w:tc>
        <w:tc>
          <w:tcPr>
            <w:tcW w:w="1442" w:type="dxa"/>
            <w:shd w:val="clear" w:color="auto" w:fill="auto"/>
          </w:tcPr>
          <w:p w14:paraId="3857D7EC"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Control</w:t>
            </w:r>
          </w:p>
        </w:tc>
        <w:tc>
          <w:tcPr>
            <w:tcW w:w="1414" w:type="dxa"/>
            <w:shd w:val="clear" w:color="auto" w:fill="auto"/>
          </w:tcPr>
          <w:p w14:paraId="1D035C17"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Total</w:t>
            </w:r>
          </w:p>
        </w:tc>
      </w:tr>
      <w:tr w:rsidR="00EF12E6" w:rsidRPr="00991A6F" w14:paraId="00EE14BB" w14:textId="77777777" w:rsidTr="00886897">
        <w:trPr>
          <w:trHeight w:val="788"/>
        </w:trPr>
        <w:tc>
          <w:tcPr>
            <w:tcW w:w="1937" w:type="dxa"/>
            <w:shd w:val="clear" w:color="auto" w:fill="auto"/>
          </w:tcPr>
          <w:p w14:paraId="41027168"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Age (years)</w:t>
            </w:r>
          </w:p>
        </w:tc>
        <w:tc>
          <w:tcPr>
            <w:tcW w:w="1414" w:type="dxa"/>
            <w:shd w:val="clear" w:color="auto" w:fill="auto"/>
          </w:tcPr>
          <w:p w14:paraId="15C57A3A"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71.36 (7.58)</w:t>
            </w:r>
          </w:p>
          <w:p w14:paraId="53EEB592"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Range:54-87</w:t>
            </w:r>
          </w:p>
        </w:tc>
        <w:tc>
          <w:tcPr>
            <w:tcW w:w="1414" w:type="dxa"/>
            <w:shd w:val="clear" w:color="auto" w:fill="auto"/>
          </w:tcPr>
          <w:p w14:paraId="07B88C37"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66.64 (7.72)</w:t>
            </w:r>
          </w:p>
          <w:p w14:paraId="4DE7DC37" w14:textId="77777777" w:rsidR="00EF12E6" w:rsidRPr="00991A6F" w:rsidRDefault="00EF12E6" w:rsidP="00886897">
            <w:pPr>
              <w:rPr>
                <w:rFonts w:ascii="Times New Roman" w:eastAsia="Times New Roman" w:hAnsi="Times New Roman"/>
                <w:sz w:val="22"/>
                <w:szCs w:val="22"/>
              </w:rPr>
            </w:pPr>
            <w:r w:rsidRPr="00991A6F">
              <w:rPr>
                <w:rFonts w:ascii="Times New Roman" w:eastAsia="Times New Roman" w:hAnsi="Times New Roman"/>
                <w:color w:val="1C1D1E"/>
                <w:sz w:val="22"/>
                <w:szCs w:val="22"/>
                <w:shd w:val="clear" w:color="auto" w:fill="FFFFFF"/>
              </w:rPr>
              <w:t>Range: 50-78</w:t>
            </w:r>
          </w:p>
        </w:tc>
        <w:tc>
          <w:tcPr>
            <w:tcW w:w="1414" w:type="dxa"/>
            <w:shd w:val="clear" w:color="auto" w:fill="auto"/>
          </w:tcPr>
          <w:p w14:paraId="52F819B3"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71.03 (8.33)</w:t>
            </w:r>
          </w:p>
          <w:p w14:paraId="12FEBB33"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Range:54-87</w:t>
            </w:r>
          </w:p>
        </w:tc>
        <w:tc>
          <w:tcPr>
            <w:tcW w:w="1442" w:type="dxa"/>
            <w:shd w:val="clear" w:color="auto" w:fill="auto"/>
          </w:tcPr>
          <w:p w14:paraId="51605ED4"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64.99 (8.06)</w:t>
            </w:r>
          </w:p>
          <w:p w14:paraId="7922D9E8"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Range:50-82</w:t>
            </w:r>
          </w:p>
        </w:tc>
        <w:tc>
          <w:tcPr>
            <w:tcW w:w="1414" w:type="dxa"/>
            <w:shd w:val="clear" w:color="auto" w:fill="auto"/>
          </w:tcPr>
          <w:p w14:paraId="490E92E4"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67.10 (8.44)</w:t>
            </w:r>
          </w:p>
          <w:p w14:paraId="4F26072C"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Range: 50-87</w:t>
            </w:r>
          </w:p>
        </w:tc>
      </w:tr>
      <w:tr w:rsidR="00EF12E6" w:rsidRPr="00991A6F" w14:paraId="40378D7B" w14:textId="77777777" w:rsidTr="00886897">
        <w:trPr>
          <w:trHeight w:val="772"/>
        </w:trPr>
        <w:tc>
          <w:tcPr>
            <w:tcW w:w="1937" w:type="dxa"/>
            <w:shd w:val="clear" w:color="auto" w:fill="auto"/>
          </w:tcPr>
          <w:p w14:paraId="489DF312"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Education (years)</w:t>
            </w:r>
          </w:p>
        </w:tc>
        <w:tc>
          <w:tcPr>
            <w:tcW w:w="1414" w:type="dxa"/>
            <w:shd w:val="clear" w:color="auto" w:fill="auto"/>
          </w:tcPr>
          <w:p w14:paraId="6E82C8A9"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10.54 (4.96)</w:t>
            </w:r>
          </w:p>
          <w:p w14:paraId="2A58FFDF"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Range:3-25</w:t>
            </w:r>
          </w:p>
        </w:tc>
        <w:tc>
          <w:tcPr>
            <w:tcW w:w="1414" w:type="dxa"/>
            <w:shd w:val="clear" w:color="auto" w:fill="auto"/>
          </w:tcPr>
          <w:p w14:paraId="335CC6E2"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9 (3.59)</w:t>
            </w:r>
          </w:p>
          <w:p w14:paraId="0946A0C6"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Range: 3-18</w:t>
            </w:r>
          </w:p>
        </w:tc>
        <w:tc>
          <w:tcPr>
            <w:tcW w:w="1414" w:type="dxa"/>
            <w:shd w:val="clear" w:color="auto" w:fill="auto"/>
          </w:tcPr>
          <w:p w14:paraId="75928925"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9.56 (3.72)</w:t>
            </w:r>
          </w:p>
          <w:p w14:paraId="11A439A5"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Range:5-20</w:t>
            </w:r>
          </w:p>
        </w:tc>
        <w:tc>
          <w:tcPr>
            <w:tcW w:w="1442" w:type="dxa"/>
            <w:shd w:val="clear" w:color="auto" w:fill="auto"/>
          </w:tcPr>
          <w:p w14:paraId="64442350"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9.44 (4.89)</w:t>
            </w:r>
          </w:p>
          <w:p w14:paraId="250BB2FE"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Range:1-22</w:t>
            </w:r>
          </w:p>
        </w:tc>
        <w:tc>
          <w:tcPr>
            <w:tcW w:w="1414" w:type="dxa"/>
            <w:shd w:val="clear" w:color="auto" w:fill="auto"/>
          </w:tcPr>
          <w:p w14:paraId="4CDE8893"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9.57 (4.58)</w:t>
            </w:r>
          </w:p>
          <w:p w14:paraId="102A4220"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Range: 1-25</w:t>
            </w:r>
          </w:p>
        </w:tc>
      </w:tr>
      <w:tr w:rsidR="00EF12E6" w:rsidRPr="00991A6F" w14:paraId="043A3B7C" w14:textId="77777777" w:rsidTr="00886897">
        <w:trPr>
          <w:trHeight w:val="772"/>
        </w:trPr>
        <w:tc>
          <w:tcPr>
            <w:tcW w:w="1937" w:type="dxa"/>
            <w:shd w:val="clear" w:color="auto" w:fill="auto"/>
          </w:tcPr>
          <w:p w14:paraId="2E3B88F1"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Occupational status</w:t>
            </w:r>
          </w:p>
        </w:tc>
        <w:tc>
          <w:tcPr>
            <w:tcW w:w="1414" w:type="dxa"/>
            <w:shd w:val="clear" w:color="auto" w:fill="auto"/>
          </w:tcPr>
          <w:p w14:paraId="3D01568C"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Worked: 4 (18.2%)</w:t>
            </w:r>
          </w:p>
          <w:p w14:paraId="77622042"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Retired: 18 (81.8%)</w:t>
            </w:r>
          </w:p>
        </w:tc>
        <w:tc>
          <w:tcPr>
            <w:tcW w:w="1414" w:type="dxa"/>
            <w:shd w:val="clear" w:color="auto" w:fill="auto"/>
          </w:tcPr>
          <w:p w14:paraId="0A7C774B"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Worked: 5 (35.7%)</w:t>
            </w:r>
          </w:p>
          <w:p w14:paraId="63F940B3"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Retired: 9 (64.3%)</w:t>
            </w:r>
          </w:p>
        </w:tc>
        <w:tc>
          <w:tcPr>
            <w:tcW w:w="1414" w:type="dxa"/>
            <w:shd w:val="clear" w:color="auto" w:fill="auto"/>
          </w:tcPr>
          <w:p w14:paraId="6C3405AA"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Worked: 6 (18.8%%)</w:t>
            </w:r>
          </w:p>
          <w:p w14:paraId="22CA4784"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Retired: 26 (81.3%)</w:t>
            </w:r>
          </w:p>
        </w:tc>
        <w:tc>
          <w:tcPr>
            <w:tcW w:w="1442" w:type="dxa"/>
            <w:shd w:val="clear" w:color="auto" w:fill="auto"/>
          </w:tcPr>
          <w:p w14:paraId="45265710"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Worked: 42 (41.6%)</w:t>
            </w:r>
          </w:p>
          <w:p w14:paraId="6AE6DEEC"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Unemployed: 3 (3%)</w:t>
            </w:r>
          </w:p>
          <w:p w14:paraId="3602E2F8"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Retired: 56 (55.4%)</w:t>
            </w:r>
          </w:p>
        </w:tc>
        <w:tc>
          <w:tcPr>
            <w:tcW w:w="1414" w:type="dxa"/>
            <w:shd w:val="clear" w:color="auto" w:fill="auto"/>
          </w:tcPr>
          <w:p w14:paraId="27CA18D7"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Worked: 57 (33.7%)</w:t>
            </w:r>
          </w:p>
          <w:p w14:paraId="0F27B44B"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Unemployed: 3 (1.8%)</w:t>
            </w:r>
          </w:p>
          <w:p w14:paraId="013C5FF7"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Retired: 109 (64.5%)</w:t>
            </w:r>
          </w:p>
        </w:tc>
      </w:tr>
      <w:tr w:rsidR="00EF12E6" w:rsidRPr="00991A6F" w14:paraId="5A13D5FD" w14:textId="77777777" w:rsidTr="00886897">
        <w:trPr>
          <w:trHeight w:val="1558"/>
        </w:trPr>
        <w:tc>
          <w:tcPr>
            <w:tcW w:w="1937" w:type="dxa"/>
            <w:shd w:val="clear" w:color="auto" w:fill="auto"/>
          </w:tcPr>
          <w:p w14:paraId="4908B2BA"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Comorbidity</w:t>
            </w:r>
          </w:p>
        </w:tc>
        <w:tc>
          <w:tcPr>
            <w:tcW w:w="1414" w:type="dxa"/>
            <w:shd w:val="clear" w:color="auto" w:fill="auto"/>
          </w:tcPr>
          <w:p w14:paraId="6DBD751F"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1.04 (1.09)</w:t>
            </w:r>
          </w:p>
          <w:p w14:paraId="18432844"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Range:0-4</w:t>
            </w:r>
          </w:p>
        </w:tc>
        <w:tc>
          <w:tcPr>
            <w:tcW w:w="1414" w:type="dxa"/>
            <w:shd w:val="clear" w:color="auto" w:fill="auto"/>
          </w:tcPr>
          <w:p w14:paraId="636C71DF"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1 (0.88)</w:t>
            </w:r>
          </w:p>
          <w:p w14:paraId="5259688E"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Range:0-3</w:t>
            </w:r>
          </w:p>
        </w:tc>
        <w:tc>
          <w:tcPr>
            <w:tcW w:w="1414" w:type="dxa"/>
            <w:shd w:val="clear" w:color="auto" w:fill="auto"/>
          </w:tcPr>
          <w:p w14:paraId="4B0CE2AE"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0.62 (0.87)</w:t>
            </w:r>
          </w:p>
          <w:p w14:paraId="486117E9"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Range:0.3</w:t>
            </w:r>
          </w:p>
        </w:tc>
        <w:tc>
          <w:tcPr>
            <w:tcW w:w="1442" w:type="dxa"/>
            <w:shd w:val="clear" w:color="auto" w:fill="auto"/>
          </w:tcPr>
          <w:p w14:paraId="4FDF124C"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0.72 (0.78)</w:t>
            </w:r>
          </w:p>
          <w:p w14:paraId="3BCDC07B"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Range:0-3</w:t>
            </w:r>
          </w:p>
        </w:tc>
        <w:tc>
          <w:tcPr>
            <w:tcW w:w="1414" w:type="dxa"/>
            <w:shd w:val="clear" w:color="auto" w:fill="auto"/>
          </w:tcPr>
          <w:p w14:paraId="5F5E047A"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0.77 (0.85)</w:t>
            </w:r>
          </w:p>
          <w:p w14:paraId="34DE9556"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Range: 0-4</w:t>
            </w:r>
          </w:p>
        </w:tc>
      </w:tr>
      <w:tr w:rsidR="00EF12E6" w:rsidRPr="00991A6F" w14:paraId="4A73C5B4" w14:textId="77777777" w:rsidTr="00886897">
        <w:trPr>
          <w:trHeight w:val="1558"/>
        </w:trPr>
        <w:tc>
          <w:tcPr>
            <w:tcW w:w="1937" w:type="dxa"/>
            <w:shd w:val="clear" w:color="auto" w:fill="auto"/>
          </w:tcPr>
          <w:p w14:paraId="46052B45"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History of memory disorders</w:t>
            </w:r>
          </w:p>
        </w:tc>
        <w:tc>
          <w:tcPr>
            <w:tcW w:w="1414" w:type="dxa"/>
            <w:shd w:val="clear" w:color="auto" w:fill="auto"/>
          </w:tcPr>
          <w:p w14:paraId="4F59C02B"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 xml:space="preserve">Yes 11 (50%); </w:t>
            </w:r>
          </w:p>
          <w:p w14:paraId="412E241D"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No 11 (50%)</w:t>
            </w:r>
          </w:p>
        </w:tc>
        <w:tc>
          <w:tcPr>
            <w:tcW w:w="1414" w:type="dxa"/>
            <w:shd w:val="clear" w:color="auto" w:fill="auto"/>
          </w:tcPr>
          <w:p w14:paraId="222C34FE"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Yes 5 (35.7%);</w:t>
            </w:r>
          </w:p>
          <w:p w14:paraId="14F9C08E"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No 9 (64.3%)</w:t>
            </w:r>
          </w:p>
        </w:tc>
        <w:tc>
          <w:tcPr>
            <w:tcW w:w="1414" w:type="dxa"/>
            <w:shd w:val="clear" w:color="auto" w:fill="auto"/>
          </w:tcPr>
          <w:p w14:paraId="4C5CB79D"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Yes 11 (34.4%);</w:t>
            </w:r>
          </w:p>
          <w:p w14:paraId="1BFCEC70"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No 21 (65.6%)</w:t>
            </w:r>
          </w:p>
        </w:tc>
        <w:tc>
          <w:tcPr>
            <w:tcW w:w="1442" w:type="dxa"/>
            <w:shd w:val="clear" w:color="auto" w:fill="auto"/>
          </w:tcPr>
          <w:p w14:paraId="51073577"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Yes 55 (54.5%);</w:t>
            </w:r>
          </w:p>
          <w:p w14:paraId="1C9AF996"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No 46 (45.5%)</w:t>
            </w:r>
          </w:p>
        </w:tc>
        <w:tc>
          <w:tcPr>
            <w:tcW w:w="1414" w:type="dxa"/>
            <w:shd w:val="clear" w:color="auto" w:fill="auto"/>
          </w:tcPr>
          <w:p w14:paraId="0065C3CA"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Yes 82 (48.5%);</w:t>
            </w:r>
          </w:p>
          <w:p w14:paraId="5B14DD1F"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No 87 (51.5%)</w:t>
            </w:r>
          </w:p>
        </w:tc>
      </w:tr>
      <w:tr w:rsidR="00EF12E6" w:rsidRPr="00991A6F" w14:paraId="54CA1DA7" w14:textId="77777777" w:rsidTr="00886897">
        <w:trPr>
          <w:trHeight w:val="772"/>
        </w:trPr>
        <w:tc>
          <w:tcPr>
            <w:tcW w:w="1937" w:type="dxa"/>
            <w:shd w:val="clear" w:color="auto" w:fill="auto"/>
          </w:tcPr>
          <w:p w14:paraId="567471A4"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Occupational attainment</w:t>
            </w:r>
          </w:p>
        </w:tc>
        <w:tc>
          <w:tcPr>
            <w:tcW w:w="1414" w:type="dxa"/>
            <w:shd w:val="clear" w:color="auto" w:fill="auto"/>
          </w:tcPr>
          <w:p w14:paraId="4C3885F5"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Unqualified worker 11 (50%); housewife 1 (4.5%); qualified worker 6 (27.3%): middle-ranking manager; 4 (18.2%)</w:t>
            </w:r>
          </w:p>
        </w:tc>
        <w:tc>
          <w:tcPr>
            <w:tcW w:w="1414" w:type="dxa"/>
            <w:shd w:val="clear" w:color="auto" w:fill="auto"/>
          </w:tcPr>
          <w:p w14:paraId="2F77D8A1"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 xml:space="preserve">Unqualified worker  8 (57.1%); housewife 3 (21.4%); qualified worker 3 (21.4%): </w:t>
            </w:r>
          </w:p>
        </w:tc>
        <w:tc>
          <w:tcPr>
            <w:tcW w:w="1414" w:type="dxa"/>
            <w:shd w:val="clear" w:color="auto" w:fill="auto"/>
          </w:tcPr>
          <w:p w14:paraId="23BE5D0D"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Unqualified worker  14 (43.8%); housewife 7  (21.9%); qualified worker 9 (28.1%): middle-ranking manager 2 (6.3%)</w:t>
            </w:r>
          </w:p>
        </w:tc>
        <w:tc>
          <w:tcPr>
            <w:tcW w:w="1442" w:type="dxa"/>
            <w:shd w:val="clear" w:color="auto" w:fill="auto"/>
          </w:tcPr>
          <w:p w14:paraId="590476EA"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Unqualified worker  42 (41.6%); housewife 17 (16.8%); qualified worker 28 (27.7.8%): middle-ranking manager  12 (11.9%); high-ranking or director 2 (2%)</w:t>
            </w:r>
          </w:p>
        </w:tc>
        <w:tc>
          <w:tcPr>
            <w:tcW w:w="1414" w:type="dxa"/>
            <w:shd w:val="clear" w:color="auto" w:fill="auto"/>
          </w:tcPr>
          <w:p w14:paraId="1B52DBE2"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Unqualified worker 75 (44.4%); housewife 28 (16.6%); qualified worker 46 (27.7%): middle-ranking manager 18 (10.7%); high-ranking or director 2 (1.2%)</w:t>
            </w:r>
          </w:p>
        </w:tc>
      </w:tr>
      <w:tr w:rsidR="00EF12E6" w:rsidRPr="00991A6F" w14:paraId="3D2F2DB2" w14:textId="77777777" w:rsidTr="00886897">
        <w:trPr>
          <w:trHeight w:val="772"/>
        </w:trPr>
        <w:tc>
          <w:tcPr>
            <w:tcW w:w="1937" w:type="dxa"/>
            <w:shd w:val="clear" w:color="auto" w:fill="auto"/>
          </w:tcPr>
          <w:p w14:paraId="68E0847B"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Reading habits</w:t>
            </w:r>
          </w:p>
        </w:tc>
        <w:tc>
          <w:tcPr>
            <w:tcW w:w="1414" w:type="dxa"/>
            <w:shd w:val="clear" w:color="auto" w:fill="auto"/>
          </w:tcPr>
          <w:p w14:paraId="08474358"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Never 3 (13.6%); Once a week 5 (22.7%); Twice a week 2 (9.1%); Every day 12 (54.5%)</w:t>
            </w:r>
          </w:p>
        </w:tc>
        <w:tc>
          <w:tcPr>
            <w:tcW w:w="1414" w:type="dxa"/>
            <w:shd w:val="clear" w:color="auto" w:fill="auto"/>
          </w:tcPr>
          <w:p w14:paraId="30EF4696"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Never 3 (21.4%); Once a week 2 (14.3%); Twice a week 5 (35.7%); Every day 4 (28.6%)</w:t>
            </w:r>
          </w:p>
        </w:tc>
        <w:tc>
          <w:tcPr>
            <w:tcW w:w="1414" w:type="dxa"/>
            <w:shd w:val="clear" w:color="auto" w:fill="auto"/>
          </w:tcPr>
          <w:p w14:paraId="6673A422"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Never 5 (15.6%); Once a week 5 (15.6%); Twice a week 3 (9.4%); Every day 19 (59.4%)</w:t>
            </w:r>
          </w:p>
        </w:tc>
        <w:tc>
          <w:tcPr>
            <w:tcW w:w="1442" w:type="dxa"/>
            <w:shd w:val="clear" w:color="auto" w:fill="auto"/>
          </w:tcPr>
          <w:p w14:paraId="7D6C9CAA"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Never 11 (10.9%); Once a week 13 (12.9%); Twice a week 17 (16.8%); Every day 60 (59.4%)</w:t>
            </w:r>
          </w:p>
        </w:tc>
        <w:tc>
          <w:tcPr>
            <w:tcW w:w="1414" w:type="dxa"/>
            <w:shd w:val="clear" w:color="auto" w:fill="auto"/>
          </w:tcPr>
          <w:p w14:paraId="4AC330AD"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Never 22 (13%); Once a week 25 (14.8%); Twice a week 27 (16%); Every day 95 (56.2%)</w:t>
            </w:r>
          </w:p>
        </w:tc>
      </w:tr>
      <w:tr w:rsidR="00EF12E6" w:rsidRPr="00991A6F" w14:paraId="4956EB12" w14:textId="77777777" w:rsidTr="00886897">
        <w:trPr>
          <w:trHeight w:val="1165"/>
        </w:trPr>
        <w:tc>
          <w:tcPr>
            <w:tcW w:w="1937" w:type="dxa"/>
            <w:shd w:val="clear" w:color="auto" w:fill="auto"/>
          </w:tcPr>
          <w:p w14:paraId="55F8DF21"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 xml:space="preserve">Frequency of social activities </w:t>
            </w:r>
          </w:p>
        </w:tc>
        <w:tc>
          <w:tcPr>
            <w:tcW w:w="1414" w:type="dxa"/>
            <w:shd w:val="clear" w:color="auto" w:fill="auto"/>
          </w:tcPr>
          <w:p w14:paraId="4794CA2E"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Never 8 (36.4%); Rarely 6 (27.3%); Often 6 (27.3%); Always 2 (9.1%)</w:t>
            </w:r>
          </w:p>
        </w:tc>
        <w:tc>
          <w:tcPr>
            <w:tcW w:w="1414" w:type="dxa"/>
            <w:shd w:val="clear" w:color="auto" w:fill="auto"/>
          </w:tcPr>
          <w:p w14:paraId="321D34B5"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Never 5 (35.7%); Rarely 2 (14.3%); Often 5 (35.7%); Always 2 (14.3%)</w:t>
            </w:r>
          </w:p>
        </w:tc>
        <w:tc>
          <w:tcPr>
            <w:tcW w:w="1414" w:type="dxa"/>
            <w:shd w:val="clear" w:color="auto" w:fill="auto"/>
          </w:tcPr>
          <w:p w14:paraId="257BD01C"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Never 10 (31.3%); Rarely 7 (21.9%); Often 8 (25%); Always 7 (21.9%)</w:t>
            </w:r>
          </w:p>
        </w:tc>
        <w:tc>
          <w:tcPr>
            <w:tcW w:w="1442" w:type="dxa"/>
            <w:shd w:val="clear" w:color="auto" w:fill="auto"/>
          </w:tcPr>
          <w:p w14:paraId="19EB792C"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Never 33 (32.7%); Rarely 27 (26.7%); Often 20 (19.8%); Always 21 (20.8%)</w:t>
            </w:r>
          </w:p>
        </w:tc>
        <w:tc>
          <w:tcPr>
            <w:tcW w:w="1414" w:type="dxa"/>
            <w:shd w:val="clear" w:color="auto" w:fill="auto"/>
          </w:tcPr>
          <w:p w14:paraId="79944CE5"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Never 56 (33.1%); Rarely 42 (24.9%); Often 39 (23.1%); Always 32 (18.9%)</w:t>
            </w:r>
          </w:p>
        </w:tc>
      </w:tr>
      <w:tr w:rsidR="00EF12E6" w:rsidRPr="00991A6F" w14:paraId="79EDE112" w14:textId="77777777" w:rsidTr="00886897">
        <w:trPr>
          <w:trHeight w:val="1165"/>
        </w:trPr>
        <w:tc>
          <w:tcPr>
            <w:tcW w:w="1937" w:type="dxa"/>
            <w:shd w:val="clear" w:color="auto" w:fill="auto"/>
          </w:tcPr>
          <w:p w14:paraId="2684F160"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Frequency of cultural activities</w:t>
            </w:r>
          </w:p>
        </w:tc>
        <w:tc>
          <w:tcPr>
            <w:tcW w:w="1414" w:type="dxa"/>
            <w:shd w:val="clear" w:color="auto" w:fill="auto"/>
          </w:tcPr>
          <w:p w14:paraId="552CAF90"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Never 17 (77.3%); Often 3 (13.6%); Always 2 (9.1%)</w:t>
            </w:r>
          </w:p>
        </w:tc>
        <w:tc>
          <w:tcPr>
            <w:tcW w:w="1414" w:type="dxa"/>
            <w:shd w:val="clear" w:color="auto" w:fill="auto"/>
          </w:tcPr>
          <w:p w14:paraId="2E58104A"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Never 12 (85.7%); Rarely 1 (7.1%); Always 1 (7.1%)</w:t>
            </w:r>
          </w:p>
        </w:tc>
        <w:tc>
          <w:tcPr>
            <w:tcW w:w="1414" w:type="dxa"/>
            <w:shd w:val="clear" w:color="auto" w:fill="auto"/>
          </w:tcPr>
          <w:p w14:paraId="0375ACB8"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Never 18 (56.3%); Rarely 2 (6.3%); Often 4 (12.5%); Always 8 (25%)</w:t>
            </w:r>
          </w:p>
        </w:tc>
        <w:tc>
          <w:tcPr>
            <w:tcW w:w="1442" w:type="dxa"/>
            <w:shd w:val="clear" w:color="auto" w:fill="auto"/>
          </w:tcPr>
          <w:p w14:paraId="546FCD68"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Never 71 (70.3%); Rarely (11 (10.9%); Often 7 (6.9%); Always 12 (11.9%)</w:t>
            </w:r>
          </w:p>
        </w:tc>
        <w:tc>
          <w:tcPr>
            <w:tcW w:w="1414" w:type="dxa"/>
            <w:shd w:val="clear" w:color="auto" w:fill="auto"/>
          </w:tcPr>
          <w:p w14:paraId="60280252"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Never 118 (69.8%); Rarely 14 (8.3%); Often 14 (8.3%); Always 23 (13.6%)</w:t>
            </w:r>
          </w:p>
        </w:tc>
      </w:tr>
      <w:tr w:rsidR="00EF12E6" w:rsidRPr="00991A6F" w14:paraId="44AA7237" w14:textId="77777777" w:rsidTr="00886897">
        <w:trPr>
          <w:trHeight w:val="1149"/>
        </w:trPr>
        <w:tc>
          <w:tcPr>
            <w:tcW w:w="1937" w:type="dxa"/>
            <w:shd w:val="clear" w:color="auto" w:fill="auto"/>
          </w:tcPr>
          <w:p w14:paraId="35E07536"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WAIS vocabulary score</w:t>
            </w:r>
          </w:p>
        </w:tc>
        <w:tc>
          <w:tcPr>
            <w:tcW w:w="1414" w:type="dxa"/>
            <w:shd w:val="clear" w:color="auto" w:fill="auto"/>
          </w:tcPr>
          <w:p w14:paraId="7EFD7440"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43.68 (13.23)</w:t>
            </w:r>
          </w:p>
          <w:p w14:paraId="5C61C112"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Range: 15-71</w:t>
            </w:r>
          </w:p>
        </w:tc>
        <w:tc>
          <w:tcPr>
            <w:tcW w:w="1414" w:type="dxa"/>
            <w:shd w:val="clear" w:color="auto" w:fill="auto"/>
          </w:tcPr>
          <w:p w14:paraId="2D38B944"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40.21 (14.56)</w:t>
            </w:r>
          </w:p>
          <w:p w14:paraId="7428247D"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Range: 18-66</w:t>
            </w:r>
          </w:p>
        </w:tc>
        <w:tc>
          <w:tcPr>
            <w:tcW w:w="1414" w:type="dxa"/>
            <w:shd w:val="clear" w:color="auto" w:fill="auto"/>
          </w:tcPr>
          <w:p w14:paraId="430CD7DB"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48.25 (11.43)</w:t>
            </w:r>
          </w:p>
          <w:p w14:paraId="5EC1BD8E"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Range:22-70</w:t>
            </w:r>
          </w:p>
        </w:tc>
        <w:tc>
          <w:tcPr>
            <w:tcW w:w="1442" w:type="dxa"/>
            <w:shd w:val="clear" w:color="auto" w:fill="auto"/>
          </w:tcPr>
          <w:p w14:paraId="4991D7FD"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51.29 (12.83)</w:t>
            </w:r>
          </w:p>
          <w:p w14:paraId="7B17D1DC"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Range:23-75</w:t>
            </w:r>
          </w:p>
        </w:tc>
        <w:tc>
          <w:tcPr>
            <w:tcW w:w="1414" w:type="dxa"/>
            <w:shd w:val="clear" w:color="auto" w:fill="auto"/>
          </w:tcPr>
          <w:p w14:paraId="5BDAD3AA"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48.80 (13.18)</w:t>
            </w:r>
          </w:p>
          <w:p w14:paraId="74F70C94"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Range:15-75</w:t>
            </w:r>
          </w:p>
        </w:tc>
      </w:tr>
      <w:tr w:rsidR="00EF12E6" w:rsidRPr="00991A6F" w14:paraId="4FF2C4DB" w14:textId="77777777" w:rsidTr="00886897">
        <w:trPr>
          <w:trHeight w:val="772"/>
        </w:trPr>
        <w:tc>
          <w:tcPr>
            <w:tcW w:w="1937" w:type="dxa"/>
            <w:shd w:val="clear" w:color="auto" w:fill="auto"/>
          </w:tcPr>
          <w:p w14:paraId="59EC89E9"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Peabody test score</w:t>
            </w:r>
          </w:p>
        </w:tc>
        <w:tc>
          <w:tcPr>
            <w:tcW w:w="1414" w:type="dxa"/>
            <w:shd w:val="clear" w:color="auto" w:fill="auto"/>
          </w:tcPr>
          <w:p w14:paraId="627398FE"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56.32 (14.23)</w:t>
            </w:r>
          </w:p>
          <w:p w14:paraId="07C130F4"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Range:23-87</w:t>
            </w:r>
          </w:p>
        </w:tc>
        <w:tc>
          <w:tcPr>
            <w:tcW w:w="1414" w:type="dxa"/>
            <w:shd w:val="clear" w:color="auto" w:fill="auto"/>
          </w:tcPr>
          <w:p w14:paraId="197FAA9A"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54.61 (18.64)</w:t>
            </w:r>
          </w:p>
          <w:p w14:paraId="51C0A4FE"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Range:16-88</w:t>
            </w:r>
          </w:p>
        </w:tc>
        <w:tc>
          <w:tcPr>
            <w:tcW w:w="1414" w:type="dxa"/>
            <w:shd w:val="clear" w:color="auto" w:fill="auto"/>
          </w:tcPr>
          <w:p w14:paraId="66869650"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58.56 (17.55)</w:t>
            </w:r>
          </w:p>
          <w:p w14:paraId="5441666F"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Range: 19-84</w:t>
            </w:r>
          </w:p>
        </w:tc>
        <w:tc>
          <w:tcPr>
            <w:tcW w:w="1442" w:type="dxa"/>
            <w:shd w:val="clear" w:color="auto" w:fill="auto"/>
          </w:tcPr>
          <w:p w14:paraId="6C039553"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64.39 (17.72)</w:t>
            </w:r>
          </w:p>
          <w:p w14:paraId="60848BA9"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Range:7-94</w:t>
            </w:r>
          </w:p>
        </w:tc>
        <w:tc>
          <w:tcPr>
            <w:tcW w:w="1414" w:type="dxa"/>
            <w:shd w:val="clear" w:color="auto" w:fill="auto"/>
          </w:tcPr>
          <w:p w14:paraId="57EEABA2" w14:textId="77777777" w:rsidR="00EF12E6" w:rsidRPr="00991A6F" w:rsidRDefault="00EF12E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61.43 (17.60)</w:t>
            </w:r>
          </w:p>
          <w:p w14:paraId="7A3B4C80" w14:textId="77777777" w:rsidR="00EF12E6" w:rsidRPr="00991A6F" w:rsidRDefault="00EF12E6" w:rsidP="00EF12E6">
            <w:pPr>
              <w:keepNext/>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Range: 7-94</w:t>
            </w:r>
          </w:p>
        </w:tc>
      </w:tr>
    </w:tbl>
    <w:p w14:paraId="2F76F73A" w14:textId="77777777" w:rsidR="00EF12E6" w:rsidRPr="000B70C6" w:rsidRDefault="00EF12E6" w:rsidP="00EF12E6">
      <w:pPr>
        <w:spacing w:line="360" w:lineRule="auto"/>
        <w:rPr>
          <w:rFonts w:ascii="Times New Roman" w:eastAsia="Times New Roman" w:hAnsi="Times New Roman"/>
        </w:rPr>
      </w:pPr>
      <w:r w:rsidRPr="000B70C6">
        <w:rPr>
          <w:rFonts w:ascii="Times New Roman" w:eastAsia="Times New Roman" w:hAnsi="Times New Roman"/>
          <w:color w:val="1C1D1E"/>
          <w:sz w:val="20"/>
          <w:szCs w:val="20"/>
          <w:shd w:val="clear" w:color="auto" w:fill="FFFFFF"/>
        </w:rPr>
        <w:t xml:space="preserve">** </w:t>
      </w:r>
      <w:r w:rsidRPr="000B70C6">
        <w:rPr>
          <w:rFonts w:ascii="Times New Roman" w:eastAsia="Times New Roman" w:hAnsi="Times New Roman"/>
          <w:i/>
          <w:iCs/>
          <w:color w:val="1C1D1E"/>
          <w:sz w:val="20"/>
          <w:szCs w:val="20"/>
          <w:shd w:val="clear" w:color="auto" w:fill="FFFFFF"/>
        </w:rPr>
        <w:t>p</w:t>
      </w:r>
      <w:r w:rsidRPr="000B70C6">
        <w:rPr>
          <w:rFonts w:ascii="Times New Roman" w:eastAsia="Times New Roman" w:hAnsi="Times New Roman"/>
          <w:color w:val="1C1D1E"/>
          <w:sz w:val="20"/>
          <w:szCs w:val="20"/>
          <w:shd w:val="clear" w:color="auto" w:fill="FFFFFF"/>
        </w:rPr>
        <w:t>&lt;0.01 *</w:t>
      </w:r>
      <w:r w:rsidRPr="000B70C6">
        <w:rPr>
          <w:rFonts w:ascii="Times New Roman" w:eastAsia="Times New Roman" w:hAnsi="Times New Roman"/>
          <w:i/>
          <w:iCs/>
          <w:color w:val="1C1D1E"/>
          <w:sz w:val="20"/>
          <w:szCs w:val="20"/>
          <w:shd w:val="clear" w:color="auto" w:fill="FFFFFF"/>
        </w:rPr>
        <w:t>p</w:t>
      </w:r>
      <w:r w:rsidRPr="000B70C6">
        <w:rPr>
          <w:rFonts w:ascii="Times New Roman" w:eastAsia="Times New Roman" w:hAnsi="Times New Roman"/>
          <w:color w:val="1C1D1E"/>
          <w:sz w:val="20"/>
          <w:szCs w:val="20"/>
          <w:shd w:val="clear" w:color="auto" w:fill="FFFFFF"/>
        </w:rPr>
        <w:t>&lt;0.05</w:t>
      </w:r>
    </w:p>
    <w:p w14:paraId="01F7349B" w14:textId="77777777" w:rsidR="00EF12E6" w:rsidRDefault="00EF12E6" w:rsidP="008F5C12"/>
    <w:p w14:paraId="03A9CB32" w14:textId="77777777" w:rsidR="00C035B6" w:rsidRDefault="00245F51" w:rsidP="008F5C12">
      <w:pPr>
        <w:rPr>
          <w:rFonts w:ascii="Times New Roman" w:eastAsia="Times New Roman" w:hAnsi="Times New Roman"/>
          <w:color w:val="1C1D1E"/>
          <w:sz w:val="22"/>
          <w:szCs w:val="22"/>
          <w:shd w:val="clear" w:color="auto" w:fill="FFFFFF"/>
        </w:rPr>
      </w:pPr>
      <w:r>
        <w:br w:type="page"/>
      </w:r>
      <w:r w:rsidR="00C035B6" w:rsidRPr="00C035B6">
        <w:rPr>
          <w:rFonts w:ascii="Times New Roman" w:eastAsia="Times New Roman" w:hAnsi="Times New Roman"/>
          <w:color w:val="1C1D1E"/>
          <w:sz w:val="22"/>
          <w:szCs w:val="22"/>
          <w:shd w:val="clear" w:color="auto" w:fill="FFFFFF"/>
        </w:rPr>
        <w:t>Table 2. Demographic, health status and cognitive reserve information at baseline according to converter or non-converter groups, and group comparisons (Mann-Whitney U test and Pearson chi-squared test where applicable)</w:t>
      </w:r>
    </w:p>
    <w:p w14:paraId="23E4E914" w14:textId="77777777" w:rsidR="00C035B6" w:rsidRPr="00C035B6" w:rsidRDefault="00C035B6" w:rsidP="008F5C12">
      <w:pPr>
        <w:rPr>
          <w:rFonts w:ascii="Times New Roman" w:eastAsia="Times New Roman" w:hAnsi="Times New Roman"/>
          <w:color w:val="1C1D1E"/>
          <w:sz w:val="22"/>
          <w:szCs w:val="22"/>
          <w:shd w:val="clear" w:color="auto" w:fill="FFFFFF"/>
        </w:rPr>
      </w:pPr>
    </w:p>
    <w:tbl>
      <w:tblPr>
        <w:tblW w:w="8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0"/>
        <w:gridCol w:w="2327"/>
        <w:gridCol w:w="2370"/>
        <w:gridCol w:w="1501"/>
      </w:tblGrid>
      <w:tr w:rsidR="00C035B6" w:rsidRPr="00991A6F" w14:paraId="3E9FEC9B" w14:textId="77777777" w:rsidTr="00886897">
        <w:trPr>
          <w:trHeight w:val="772"/>
        </w:trPr>
        <w:tc>
          <w:tcPr>
            <w:tcW w:w="2400" w:type="dxa"/>
            <w:shd w:val="clear" w:color="auto" w:fill="auto"/>
          </w:tcPr>
          <w:p w14:paraId="1FCE594F" w14:textId="77777777" w:rsidR="00C035B6" w:rsidRPr="00991A6F" w:rsidRDefault="00C035B6" w:rsidP="00886897">
            <w:pPr>
              <w:spacing w:line="360" w:lineRule="auto"/>
              <w:rPr>
                <w:rFonts w:ascii="Times New Roman" w:eastAsia="Times New Roman" w:hAnsi="Times New Roman"/>
                <w:color w:val="1C1D1E"/>
                <w:sz w:val="22"/>
                <w:szCs w:val="22"/>
              </w:rPr>
            </w:pPr>
          </w:p>
        </w:tc>
        <w:tc>
          <w:tcPr>
            <w:tcW w:w="2327" w:type="dxa"/>
            <w:shd w:val="clear" w:color="auto" w:fill="auto"/>
          </w:tcPr>
          <w:p w14:paraId="4A44E701"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Converters</w:t>
            </w:r>
          </w:p>
        </w:tc>
        <w:tc>
          <w:tcPr>
            <w:tcW w:w="2370" w:type="dxa"/>
            <w:shd w:val="clear" w:color="auto" w:fill="auto"/>
          </w:tcPr>
          <w:p w14:paraId="505EF581"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Non converters</w:t>
            </w:r>
          </w:p>
        </w:tc>
        <w:tc>
          <w:tcPr>
            <w:tcW w:w="1501" w:type="dxa"/>
            <w:shd w:val="clear" w:color="auto" w:fill="auto"/>
          </w:tcPr>
          <w:p w14:paraId="65FD39D1"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Group comparisons</w:t>
            </w:r>
          </w:p>
        </w:tc>
      </w:tr>
      <w:tr w:rsidR="00C035B6" w:rsidRPr="00991A6F" w14:paraId="5B5D3D39" w14:textId="77777777" w:rsidTr="00886897">
        <w:trPr>
          <w:trHeight w:val="788"/>
        </w:trPr>
        <w:tc>
          <w:tcPr>
            <w:tcW w:w="2400" w:type="dxa"/>
            <w:shd w:val="clear" w:color="auto" w:fill="auto"/>
          </w:tcPr>
          <w:p w14:paraId="1844BC72"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Age (years)</w:t>
            </w:r>
          </w:p>
        </w:tc>
        <w:tc>
          <w:tcPr>
            <w:tcW w:w="2327" w:type="dxa"/>
            <w:shd w:val="clear" w:color="auto" w:fill="auto"/>
          </w:tcPr>
          <w:p w14:paraId="1FFE157E"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74.03 (5.88)</w:t>
            </w:r>
          </w:p>
          <w:p w14:paraId="718B3F76"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Range: 62-87</w:t>
            </w:r>
          </w:p>
        </w:tc>
        <w:tc>
          <w:tcPr>
            <w:tcW w:w="2370" w:type="dxa"/>
            <w:shd w:val="clear" w:color="auto" w:fill="auto"/>
          </w:tcPr>
          <w:p w14:paraId="060E9705"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65.09 (8.01)</w:t>
            </w:r>
          </w:p>
          <w:p w14:paraId="78C445BF" w14:textId="77777777" w:rsidR="00C035B6" w:rsidRPr="00991A6F" w:rsidRDefault="00C035B6" w:rsidP="00886897">
            <w:pPr>
              <w:rPr>
                <w:rFonts w:ascii="Times New Roman" w:eastAsia="Times New Roman" w:hAnsi="Times New Roman"/>
                <w:sz w:val="22"/>
                <w:szCs w:val="22"/>
              </w:rPr>
            </w:pPr>
            <w:r w:rsidRPr="00991A6F">
              <w:rPr>
                <w:rFonts w:ascii="Times New Roman" w:eastAsia="Times New Roman" w:hAnsi="Times New Roman"/>
                <w:color w:val="1C1D1E"/>
                <w:sz w:val="22"/>
                <w:szCs w:val="22"/>
                <w:shd w:val="clear" w:color="auto" w:fill="FFFFFF"/>
              </w:rPr>
              <w:t>Range: 50-87</w:t>
            </w:r>
          </w:p>
        </w:tc>
        <w:tc>
          <w:tcPr>
            <w:tcW w:w="1501" w:type="dxa"/>
            <w:shd w:val="clear" w:color="auto" w:fill="auto"/>
          </w:tcPr>
          <w:p w14:paraId="1CB4B3AA"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Z=-5.96**</w:t>
            </w:r>
          </w:p>
        </w:tc>
      </w:tr>
      <w:tr w:rsidR="00C035B6" w:rsidRPr="00991A6F" w14:paraId="050D091B" w14:textId="77777777" w:rsidTr="00886897">
        <w:trPr>
          <w:trHeight w:val="772"/>
        </w:trPr>
        <w:tc>
          <w:tcPr>
            <w:tcW w:w="2400" w:type="dxa"/>
            <w:shd w:val="clear" w:color="auto" w:fill="auto"/>
          </w:tcPr>
          <w:p w14:paraId="2302A3F4"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Education (years)</w:t>
            </w:r>
          </w:p>
        </w:tc>
        <w:tc>
          <w:tcPr>
            <w:tcW w:w="2327" w:type="dxa"/>
            <w:shd w:val="clear" w:color="auto" w:fill="auto"/>
          </w:tcPr>
          <w:p w14:paraId="37587EDD"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9.92 (4.39)</w:t>
            </w:r>
          </w:p>
          <w:p w14:paraId="5907B91A"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Range: 4-25</w:t>
            </w:r>
          </w:p>
        </w:tc>
        <w:tc>
          <w:tcPr>
            <w:tcW w:w="2370" w:type="dxa"/>
            <w:shd w:val="clear" w:color="auto" w:fill="auto"/>
          </w:tcPr>
          <w:p w14:paraId="18550BF7"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9.47 (4.65)</w:t>
            </w:r>
          </w:p>
          <w:p w14:paraId="11B8BD54"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Range: 1-22</w:t>
            </w:r>
          </w:p>
        </w:tc>
        <w:tc>
          <w:tcPr>
            <w:tcW w:w="1501" w:type="dxa"/>
            <w:shd w:val="clear" w:color="auto" w:fill="auto"/>
          </w:tcPr>
          <w:p w14:paraId="7743F4A3"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Z=-0.76</w:t>
            </w:r>
          </w:p>
        </w:tc>
      </w:tr>
      <w:tr w:rsidR="00C035B6" w:rsidRPr="00991A6F" w14:paraId="14E05D29" w14:textId="77777777" w:rsidTr="00886897">
        <w:trPr>
          <w:trHeight w:val="772"/>
        </w:trPr>
        <w:tc>
          <w:tcPr>
            <w:tcW w:w="2400" w:type="dxa"/>
            <w:shd w:val="clear" w:color="auto" w:fill="auto"/>
          </w:tcPr>
          <w:p w14:paraId="6022F5E5"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Occupational status</w:t>
            </w:r>
          </w:p>
        </w:tc>
        <w:tc>
          <w:tcPr>
            <w:tcW w:w="2327" w:type="dxa"/>
            <w:shd w:val="clear" w:color="auto" w:fill="auto"/>
          </w:tcPr>
          <w:p w14:paraId="38404F06"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Employed: 54 (41.2%)</w:t>
            </w:r>
          </w:p>
          <w:p w14:paraId="16246430"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Unemployed: 3 (2.3%)</w:t>
            </w:r>
          </w:p>
          <w:p w14:paraId="0D243219"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Retired: 74 (56.5%)</w:t>
            </w:r>
          </w:p>
        </w:tc>
        <w:tc>
          <w:tcPr>
            <w:tcW w:w="2370" w:type="dxa"/>
            <w:shd w:val="clear" w:color="auto" w:fill="auto"/>
          </w:tcPr>
          <w:p w14:paraId="40A2A673"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 xml:space="preserve">Employed: 3 (7.9%); </w:t>
            </w:r>
          </w:p>
          <w:p w14:paraId="3AD85A8D"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Retired: 35 (92.1%)</w:t>
            </w:r>
          </w:p>
        </w:tc>
        <w:tc>
          <w:tcPr>
            <w:tcW w:w="1501" w:type="dxa"/>
            <w:shd w:val="clear" w:color="auto" w:fill="auto"/>
          </w:tcPr>
          <w:p w14:paraId="1916A5B9"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χ</w:t>
            </w:r>
            <w:r w:rsidRPr="00991A6F">
              <w:rPr>
                <w:rFonts w:ascii="Times New Roman" w:eastAsia="Times New Roman" w:hAnsi="Times New Roman"/>
                <w:color w:val="1C1D1E"/>
                <w:sz w:val="22"/>
                <w:szCs w:val="22"/>
                <w:shd w:val="clear" w:color="auto" w:fill="FFFFFF"/>
                <w:vertAlign w:val="superscript"/>
              </w:rPr>
              <w:t>2</w:t>
            </w:r>
            <w:r w:rsidRPr="00991A6F">
              <w:rPr>
                <w:rFonts w:ascii="Times New Roman" w:eastAsia="Times New Roman" w:hAnsi="Times New Roman"/>
                <w:color w:val="1C1D1E"/>
                <w:sz w:val="22"/>
                <w:szCs w:val="22"/>
                <w:shd w:val="clear" w:color="auto" w:fill="FFFFFF"/>
              </w:rPr>
              <w:t xml:space="preserve"> =16.36**</w:t>
            </w:r>
          </w:p>
        </w:tc>
      </w:tr>
      <w:tr w:rsidR="00C035B6" w:rsidRPr="00991A6F" w14:paraId="2B94D20A" w14:textId="77777777" w:rsidTr="00886897">
        <w:trPr>
          <w:trHeight w:val="1558"/>
        </w:trPr>
        <w:tc>
          <w:tcPr>
            <w:tcW w:w="2400" w:type="dxa"/>
            <w:shd w:val="clear" w:color="auto" w:fill="auto"/>
          </w:tcPr>
          <w:p w14:paraId="7E62B526"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Comorbidity</w:t>
            </w:r>
          </w:p>
        </w:tc>
        <w:tc>
          <w:tcPr>
            <w:tcW w:w="2327" w:type="dxa"/>
            <w:shd w:val="clear" w:color="auto" w:fill="auto"/>
          </w:tcPr>
          <w:p w14:paraId="2BCC690B"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0.80 (0.87)</w:t>
            </w:r>
          </w:p>
          <w:p w14:paraId="5BE696BF"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Range: 0-4</w:t>
            </w:r>
          </w:p>
        </w:tc>
        <w:tc>
          <w:tcPr>
            <w:tcW w:w="2370" w:type="dxa"/>
            <w:shd w:val="clear" w:color="auto" w:fill="auto"/>
          </w:tcPr>
          <w:p w14:paraId="38320FBA"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0.66 (0.78)</w:t>
            </w:r>
          </w:p>
          <w:p w14:paraId="73923373"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Range: 0-2</w:t>
            </w:r>
          </w:p>
        </w:tc>
        <w:tc>
          <w:tcPr>
            <w:tcW w:w="1501" w:type="dxa"/>
            <w:shd w:val="clear" w:color="auto" w:fill="auto"/>
          </w:tcPr>
          <w:p w14:paraId="4ACCBDA9"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Z=-0.840</w:t>
            </w:r>
          </w:p>
        </w:tc>
      </w:tr>
      <w:tr w:rsidR="00C035B6" w:rsidRPr="00991A6F" w14:paraId="29D470A3" w14:textId="77777777" w:rsidTr="00886897">
        <w:trPr>
          <w:trHeight w:val="1558"/>
        </w:trPr>
        <w:tc>
          <w:tcPr>
            <w:tcW w:w="2400" w:type="dxa"/>
            <w:shd w:val="clear" w:color="auto" w:fill="auto"/>
          </w:tcPr>
          <w:p w14:paraId="074A94B7"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History of memory disorders</w:t>
            </w:r>
          </w:p>
        </w:tc>
        <w:tc>
          <w:tcPr>
            <w:tcW w:w="2327" w:type="dxa"/>
            <w:shd w:val="clear" w:color="auto" w:fill="auto"/>
          </w:tcPr>
          <w:p w14:paraId="5337E41B"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Yes: 67 (51.1%)</w:t>
            </w:r>
          </w:p>
          <w:p w14:paraId="2236BF6B"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No: 64 (48.9%)</w:t>
            </w:r>
          </w:p>
        </w:tc>
        <w:tc>
          <w:tcPr>
            <w:tcW w:w="2370" w:type="dxa"/>
            <w:shd w:val="clear" w:color="auto" w:fill="auto"/>
          </w:tcPr>
          <w:p w14:paraId="295A3D05"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Yes: 15 (39.5%)</w:t>
            </w:r>
          </w:p>
          <w:p w14:paraId="05E3B7CB"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No: 23 (60.5%)</w:t>
            </w:r>
          </w:p>
        </w:tc>
        <w:tc>
          <w:tcPr>
            <w:tcW w:w="1501" w:type="dxa"/>
            <w:shd w:val="clear" w:color="auto" w:fill="auto"/>
          </w:tcPr>
          <w:p w14:paraId="0C0EAB75"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χ</w:t>
            </w:r>
            <w:r w:rsidRPr="00991A6F">
              <w:rPr>
                <w:rFonts w:ascii="Times New Roman" w:eastAsia="Times New Roman" w:hAnsi="Times New Roman"/>
                <w:color w:val="1C1D1E"/>
                <w:sz w:val="22"/>
                <w:szCs w:val="22"/>
                <w:shd w:val="clear" w:color="auto" w:fill="FFFFFF"/>
                <w:vertAlign w:val="superscript"/>
              </w:rPr>
              <w:t>2</w:t>
            </w:r>
            <w:r w:rsidRPr="00991A6F">
              <w:rPr>
                <w:rFonts w:ascii="Times New Roman" w:eastAsia="Times New Roman" w:hAnsi="Times New Roman"/>
                <w:color w:val="1C1D1E"/>
                <w:sz w:val="22"/>
                <w:szCs w:val="22"/>
                <w:shd w:val="clear" w:color="auto" w:fill="FFFFFF"/>
              </w:rPr>
              <w:t xml:space="preserve"> =1.61</w:t>
            </w:r>
          </w:p>
        </w:tc>
      </w:tr>
      <w:tr w:rsidR="00C035B6" w:rsidRPr="00991A6F" w14:paraId="56D00B56" w14:textId="77777777" w:rsidTr="00886897">
        <w:trPr>
          <w:trHeight w:val="772"/>
        </w:trPr>
        <w:tc>
          <w:tcPr>
            <w:tcW w:w="2400" w:type="dxa"/>
            <w:shd w:val="clear" w:color="auto" w:fill="auto"/>
          </w:tcPr>
          <w:p w14:paraId="55F1DB7B"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Occupational attainment</w:t>
            </w:r>
          </w:p>
        </w:tc>
        <w:tc>
          <w:tcPr>
            <w:tcW w:w="2327" w:type="dxa"/>
            <w:shd w:val="clear" w:color="auto" w:fill="auto"/>
          </w:tcPr>
          <w:p w14:paraId="3A7DD55A"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Unqualified worker, 54 (41.2%);  housewife,  23 (17.6%); qualified worker, 39 (29.8%); middle-ranking manager, 13 (9.9%); high-ranking manager, 2 (1.5%)</w:t>
            </w:r>
          </w:p>
        </w:tc>
        <w:tc>
          <w:tcPr>
            <w:tcW w:w="2370" w:type="dxa"/>
            <w:shd w:val="clear" w:color="auto" w:fill="auto"/>
          </w:tcPr>
          <w:p w14:paraId="086EA51B"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Unqualified worker, 21 (55.3%); housewife, 5 (13.2%); qualified worker, 7 (18.4%): middle-ranking manager, 5 (13.2%)</w:t>
            </w:r>
          </w:p>
        </w:tc>
        <w:tc>
          <w:tcPr>
            <w:tcW w:w="1501" w:type="dxa"/>
            <w:shd w:val="clear" w:color="auto" w:fill="auto"/>
          </w:tcPr>
          <w:p w14:paraId="17C0B442"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χ</w:t>
            </w:r>
            <w:r w:rsidRPr="00991A6F">
              <w:rPr>
                <w:rFonts w:ascii="Times New Roman" w:eastAsia="Times New Roman" w:hAnsi="Times New Roman"/>
                <w:color w:val="1C1D1E"/>
                <w:sz w:val="22"/>
                <w:szCs w:val="22"/>
                <w:shd w:val="clear" w:color="auto" w:fill="FFFFFF"/>
                <w:vertAlign w:val="superscript"/>
              </w:rPr>
              <w:t>2</w:t>
            </w:r>
            <w:r w:rsidRPr="00991A6F">
              <w:rPr>
                <w:rFonts w:ascii="Times New Roman" w:eastAsia="Times New Roman" w:hAnsi="Times New Roman"/>
                <w:color w:val="1C1D1E"/>
                <w:sz w:val="22"/>
                <w:szCs w:val="22"/>
                <w:shd w:val="clear" w:color="auto" w:fill="FFFFFF"/>
              </w:rPr>
              <w:t xml:space="preserve"> =3.92</w:t>
            </w:r>
          </w:p>
        </w:tc>
      </w:tr>
      <w:tr w:rsidR="00C035B6" w:rsidRPr="00991A6F" w14:paraId="4A1857A3" w14:textId="77777777" w:rsidTr="00886897">
        <w:trPr>
          <w:trHeight w:val="772"/>
        </w:trPr>
        <w:tc>
          <w:tcPr>
            <w:tcW w:w="2400" w:type="dxa"/>
            <w:shd w:val="clear" w:color="auto" w:fill="auto"/>
          </w:tcPr>
          <w:p w14:paraId="064FC766"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Reading habits</w:t>
            </w:r>
          </w:p>
        </w:tc>
        <w:tc>
          <w:tcPr>
            <w:tcW w:w="2327" w:type="dxa"/>
            <w:shd w:val="clear" w:color="auto" w:fill="auto"/>
          </w:tcPr>
          <w:p w14:paraId="3DA14FC6"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Never, 16 (12.2%); once a week, 21 (16%); twice a week, 20 (15.3%); every day, 74 (56.5%)</w:t>
            </w:r>
          </w:p>
        </w:tc>
        <w:tc>
          <w:tcPr>
            <w:tcW w:w="2370" w:type="dxa"/>
            <w:shd w:val="clear" w:color="auto" w:fill="auto"/>
          </w:tcPr>
          <w:p w14:paraId="707E2FDA"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Never 6 (15.8%); once a week, 4 (10.5%); twice a week, 7 (18.4%); every day, 21 (55.3%)</w:t>
            </w:r>
          </w:p>
        </w:tc>
        <w:tc>
          <w:tcPr>
            <w:tcW w:w="1501" w:type="dxa"/>
            <w:shd w:val="clear" w:color="auto" w:fill="auto"/>
          </w:tcPr>
          <w:p w14:paraId="33FE9EA1"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χ</w:t>
            </w:r>
            <w:r w:rsidRPr="00991A6F">
              <w:rPr>
                <w:rFonts w:ascii="Times New Roman" w:eastAsia="Times New Roman" w:hAnsi="Times New Roman"/>
                <w:color w:val="1C1D1E"/>
                <w:sz w:val="22"/>
                <w:szCs w:val="22"/>
                <w:shd w:val="clear" w:color="auto" w:fill="FFFFFF"/>
                <w:vertAlign w:val="superscript"/>
              </w:rPr>
              <w:t>2</w:t>
            </w:r>
            <w:r w:rsidRPr="00991A6F">
              <w:rPr>
                <w:rFonts w:ascii="Times New Roman" w:eastAsia="Times New Roman" w:hAnsi="Times New Roman"/>
                <w:color w:val="1C1D1E"/>
                <w:sz w:val="22"/>
                <w:szCs w:val="22"/>
                <w:shd w:val="clear" w:color="auto" w:fill="FFFFFF"/>
              </w:rPr>
              <w:t xml:space="preserve"> =1.08</w:t>
            </w:r>
          </w:p>
        </w:tc>
      </w:tr>
      <w:tr w:rsidR="00C035B6" w:rsidRPr="00991A6F" w14:paraId="5B6C819F" w14:textId="77777777" w:rsidTr="00886897">
        <w:trPr>
          <w:trHeight w:val="1165"/>
        </w:trPr>
        <w:tc>
          <w:tcPr>
            <w:tcW w:w="2400" w:type="dxa"/>
            <w:shd w:val="clear" w:color="auto" w:fill="auto"/>
          </w:tcPr>
          <w:p w14:paraId="22E6D731"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 xml:space="preserve">Frequency of social activities </w:t>
            </w:r>
          </w:p>
        </w:tc>
        <w:tc>
          <w:tcPr>
            <w:tcW w:w="2327" w:type="dxa"/>
            <w:shd w:val="clear" w:color="auto" w:fill="auto"/>
          </w:tcPr>
          <w:p w14:paraId="0CDA3783"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Never, 42 (32.1%); rarely, 31 (23.7%); often, 29 (22.1%); always, 29 (22.1%)</w:t>
            </w:r>
          </w:p>
        </w:tc>
        <w:tc>
          <w:tcPr>
            <w:tcW w:w="2370" w:type="dxa"/>
            <w:shd w:val="clear" w:color="auto" w:fill="auto"/>
          </w:tcPr>
          <w:p w14:paraId="2A9065B9"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Never, 14 (36.8%); rarely, 11 (28.9%); often, 10 (26.3%); always, 3 (7.9%)</w:t>
            </w:r>
          </w:p>
        </w:tc>
        <w:tc>
          <w:tcPr>
            <w:tcW w:w="1501" w:type="dxa"/>
            <w:shd w:val="clear" w:color="auto" w:fill="auto"/>
          </w:tcPr>
          <w:p w14:paraId="009B287A"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χ</w:t>
            </w:r>
            <w:r w:rsidRPr="00991A6F">
              <w:rPr>
                <w:rFonts w:ascii="Times New Roman" w:eastAsia="Times New Roman" w:hAnsi="Times New Roman"/>
                <w:color w:val="1C1D1E"/>
                <w:sz w:val="22"/>
                <w:szCs w:val="22"/>
                <w:shd w:val="clear" w:color="auto" w:fill="FFFFFF"/>
                <w:vertAlign w:val="superscript"/>
              </w:rPr>
              <w:t>2</w:t>
            </w:r>
            <w:r w:rsidRPr="00991A6F">
              <w:rPr>
                <w:rFonts w:ascii="Times New Roman" w:eastAsia="Times New Roman" w:hAnsi="Times New Roman"/>
                <w:color w:val="1C1D1E"/>
                <w:sz w:val="22"/>
                <w:szCs w:val="22"/>
                <w:shd w:val="clear" w:color="auto" w:fill="FFFFFF"/>
              </w:rPr>
              <w:t xml:space="preserve"> =3.91</w:t>
            </w:r>
          </w:p>
        </w:tc>
      </w:tr>
      <w:tr w:rsidR="00C035B6" w:rsidRPr="00991A6F" w14:paraId="45908D7E" w14:textId="77777777" w:rsidTr="00886897">
        <w:trPr>
          <w:trHeight w:val="1165"/>
        </w:trPr>
        <w:tc>
          <w:tcPr>
            <w:tcW w:w="2400" w:type="dxa"/>
            <w:shd w:val="clear" w:color="auto" w:fill="auto"/>
          </w:tcPr>
          <w:p w14:paraId="6CB59E88"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Frequency of cultural activities</w:t>
            </w:r>
          </w:p>
        </w:tc>
        <w:tc>
          <w:tcPr>
            <w:tcW w:w="2327" w:type="dxa"/>
            <w:shd w:val="clear" w:color="auto" w:fill="auto"/>
          </w:tcPr>
          <w:p w14:paraId="0E8FB0AF"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Never, 92 (70.2%); rarely, 10 (7.6%), often, 11 (8.4%); always, 18 (13.7%)</w:t>
            </w:r>
          </w:p>
        </w:tc>
        <w:tc>
          <w:tcPr>
            <w:tcW w:w="2370" w:type="dxa"/>
            <w:shd w:val="clear" w:color="auto" w:fill="auto"/>
          </w:tcPr>
          <w:p w14:paraId="3979E4FE"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Never, 26 (68.4%); rarely, 4 (10.5%); often, 3 (7.9%), always, 5 (13.2%)</w:t>
            </w:r>
          </w:p>
        </w:tc>
        <w:tc>
          <w:tcPr>
            <w:tcW w:w="1501" w:type="dxa"/>
            <w:shd w:val="clear" w:color="auto" w:fill="auto"/>
          </w:tcPr>
          <w:p w14:paraId="1452BFB0"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χ</w:t>
            </w:r>
            <w:r w:rsidRPr="00991A6F">
              <w:rPr>
                <w:rFonts w:ascii="Times New Roman" w:eastAsia="Times New Roman" w:hAnsi="Times New Roman"/>
                <w:color w:val="1C1D1E"/>
                <w:sz w:val="22"/>
                <w:szCs w:val="22"/>
                <w:shd w:val="clear" w:color="auto" w:fill="FFFFFF"/>
                <w:vertAlign w:val="superscript"/>
              </w:rPr>
              <w:t>2</w:t>
            </w:r>
            <w:r w:rsidRPr="00991A6F">
              <w:rPr>
                <w:rFonts w:ascii="Times New Roman" w:eastAsia="Times New Roman" w:hAnsi="Times New Roman"/>
                <w:color w:val="1C1D1E"/>
                <w:sz w:val="22"/>
                <w:szCs w:val="22"/>
                <w:shd w:val="clear" w:color="auto" w:fill="FFFFFF"/>
              </w:rPr>
              <w:t xml:space="preserve"> =0.328</w:t>
            </w:r>
          </w:p>
        </w:tc>
      </w:tr>
      <w:tr w:rsidR="00C035B6" w:rsidRPr="00991A6F" w14:paraId="3EF9FA9A" w14:textId="77777777" w:rsidTr="00886897">
        <w:trPr>
          <w:trHeight w:val="1149"/>
        </w:trPr>
        <w:tc>
          <w:tcPr>
            <w:tcW w:w="2400" w:type="dxa"/>
            <w:shd w:val="clear" w:color="auto" w:fill="auto"/>
          </w:tcPr>
          <w:p w14:paraId="5590EA59"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WAIS vocabulary score</w:t>
            </w:r>
          </w:p>
        </w:tc>
        <w:tc>
          <w:tcPr>
            <w:tcW w:w="2327" w:type="dxa"/>
            <w:shd w:val="clear" w:color="auto" w:fill="auto"/>
          </w:tcPr>
          <w:p w14:paraId="337B2E6D"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44.18 (13.01)</w:t>
            </w:r>
          </w:p>
          <w:p w14:paraId="17B0DA20" w14:textId="77777777" w:rsidR="00C035B6" w:rsidRPr="00991A6F" w:rsidRDefault="00C035B6" w:rsidP="00886897">
            <w:pPr>
              <w:spacing w:line="360" w:lineRule="auto"/>
              <w:rPr>
                <w:rFonts w:ascii="Times New Roman" w:eastAsia="Times New Roman" w:hAnsi="Times New Roman"/>
                <w:color w:val="1C1D1E"/>
              </w:rPr>
            </w:pPr>
            <w:r w:rsidRPr="00991A6F">
              <w:rPr>
                <w:rFonts w:ascii="Times New Roman" w:eastAsia="Times New Roman" w:hAnsi="Times New Roman"/>
                <w:color w:val="1C1D1E"/>
                <w:sz w:val="22"/>
                <w:szCs w:val="22"/>
                <w:shd w:val="clear" w:color="auto" w:fill="FFFFFF"/>
              </w:rPr>
              <w:t>Range: 15-71</w:t>
            </w:r>
          </w:p>
          <w:p w14:paraId="76ACBEE2" w14:textId="77777777" w:rsidR="00C035B6" w:rsidRPr="00991A6F" w:rsidRDefault="00C035B6" w:rsidP="00886897">
            <w:pPr>
              <w:spacing w:line="360" w:lineRule="auto"/>
              <w:rPr>
                <w:rFonts w:ascii="Times New Roman" w:eastAsia="Times New Roman" w:hAnsi="Times New Roman"/>
                <w:color w:val="1C1D1E"/>
                <w:sz w:val="22"/>
                <w:szCs w:val="22"/>
              </w:rPr>
            </w:pPr>
          </w:p>
        </w:tc>
        <w:tc>
          <w:tcPr>
            <w:tcW w:w="2370" w:type="dxa"/>
            <w:shd w:val="clear" w:color="auto" w:fill="auto"/>
          </w:tcPr>
          <w:p w14:paraId="5C23EC52"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50.14 (12.97)</w:t>
            </w:r>
          </w:p>
          <w:p w14:paraId="692DE851"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Range: 18-75</w:t>
            </w:r>
          </w:p>
        </w:tc>
        <w:tc>
          <w:tcPr>
            <w:tcW w:w="1501" w:type="dxa"/>
            <w:shd w:val="clear" w:color="auto" w:fill="auto"/>
          </w:tcPr>
          <w:p w14:paraId="21366629"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Z=-2.20*</w:t>
            </w:r>
          </w:p>
        </w:tc>
      </w:tr>
      <w:tr w:rsidR="00C035B6" w:rsidRPr="00991A6F" w14:paraId="338FC570" w14:textId="77777777" w:rsidTr="00886897">
        <w:trPr>
          <w:trHeight w:val="772"/>
        </w:trPr>
        <w:tc>
          <w:tcPr>
            <w:tcW w:w="2400" w:type="dxa"/>
            <w:shd w:val="clear" w:color="auto" w:fill="auto"/>
          </w:tcPr>
          <w:p w14:paraId="170FB945"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Peabody test score</w:t>
            </w:r>
          </w:p>
        </w:tc>
        <w:tc>
          <w:tcPr>
            <w:tcW w:w="2327" w:type="dxa"/>
            <w:shd w:val="clear" w:color="auto" w:fill="auto"/>
          </w:tcPr>
          <w:p w14:paraId="51433EF1"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56.39 (17.52)</w:t>
            </w:r>
          </w:p>
          <w:p w14:paraId="1BD28A34"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Range: 23-87</w:t>
            </w:r>
          </w:p>
        </w:tc>
        <w:tc>
          <w:tcPr>
            <w:tcW w:w="2370" w:type="dxa"/>
            <w:shd w:val="clear" w:color="auto" w:fill="auto"/>
          </w:tcPr>
          <w:p w14:paraId="770CC0E2"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62.89 (17.42)</w:t>
            </w:r>
          </w:p>
          <w:p w14:paraId="3F508FB1"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Range: 7-94</w:t>
            </w:r>
          </w:p>
        </w:tc>
        <w:tc>
          <w:tcPr>
            <w:tcW w:w="1501" w:type="dxa"/>
            <w:shd w:val="clear" w:color="auto" w:fill="auto"/>
          </w:tcPr>
          <w:p w14:paraId="10A5613B"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Z=-2.17*</w:t>
            </w:r>
          </w:p>
        </w:tc>
      </w:tr>
      <w:tr w:rsidR="00C035B6" w:rsidRPr="00991A6F" w14:paraId="647963BE" w14:textId="77777777" w:rsidTr="00886897">
        <w:trPr>
          <w:trHeight w:val="772"/>
        </w:trPr>
        <w:tc>
          <w:tcPr>
            <w:tcW w:w="2400" w:type="dxa"/>
            <w:shd w:val="clear" w:color="auto" w:fill="auto"/>
          </w:tcPr>
          <w:p w14:paraId="2D962B96"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Diagnostic group at baseline</w:t>
            </w:r>
          </w:p>
        </w:tc>
        <w:tc>
          <w:tcPr>
            <w:tcW w:w="2327" w:type="dxa"/>
            <w:shd w:val="clear" w:color="auto" w:fill="auto"/>
          </w:tcPr>
          <w:p w14:paraId="7512E16C" w14:textId="3D2C2CF3"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Controls: 93 (71%); sda</w:t>
            </w:r>
            <w:r w:rsidR="006C3755">
              <w:rPr>
                <w:rFonts w:ascii="Times New Roman" w:eastAsia="Times New Roman" w:hAnsi="Times New Roman"/>
                <w:color w:val="1C1D1E"/>
                <w:sz w:val="22"/>
                <w:szCs w:val="22"/>
                <w:shd w:val="clear" w:color="auto" w:fill="FFFFFF"/>
              </w:rPr>
              <w:t>-</w:t>
            </w:r>
            <w:r w:rsidRPr="00991A6F">
              <w:rPr>
                <w:rFonts w:ascii="Times New Roman" w:eastAsia="Times New Roman" w:hAnsi="Times New Roman"/>
                <w:color w:val="1C1D1E"/>
                <w:sz w:val="22"/>
                <w:szCs w:val="22"/>
                <w:shd w:val="clear" w:color="auto" w:fill="FFFFFF"/>
              </w:rPr>
              <w:t>MCI: 20 (15.3%); na</w:t>
            </w:r>
            <w:r w:rsidR="006C3755">
              <w:rPr>
                <w:rFonts w:ascii="Times New Roman" w:eastAsia="Times New Roman" w:hAnsi="Times New Roman"/>
                <w:color w:val="1C1D1E"/>
                <w:sz w:val="22"/>
                <w:szCs w:val="22"/>
                <w:shd w:val="clear" w:color="auto" w:fill="FFFFFF"/>
              </w:rPr>
              <w:t>-</w:t>
            </w:r>
            <w:r w:rsidRPr="00991A6F">
              <w:rPr>
                <w:rFonts w:ascii="Times New Roman" w:eastAsia="Times New Roman" w:hAnsi="Times New Roman"/>
                <w:color w:val="1C1D1E"/>
                <w:sz w:val="22"/>
                <w:szCs w:val="22"/>
                <w:shd w:val="clear" w:color="auto" w:fill="FFFFFF"/>
              </w:rPr>
              <w:t>MCI: 11 (8.4%); ma</w:t>
            </w:r>
            <w:r w:rsidR="006C3755">
              <w:rPr>
                <w:rFonts w:ascii="Times New Roman" w:eastAsia="Times New Roman" w:hAnsi="Times New Roman"/>
                <w:color w:val="1C1D1E"/>
                <w:sz w:val="22"/>
                <w:szCs w:val="22"/>
                <w:shd w:val="clear" w:color="auto" w:fill="FFFFFF"/>
              </w:rPr>
              <w:t>-</w:t>
            </w:r>
            <w:r w:rsidRPr="00991A6F">
              <w:rPr>
                <w:rFonts w:ascii="Times New Roman" w:eastAsia="Times New Roman" w:hAnsi="Times New Roman"/>
                <w:color w:val="1C1D1E"/>
                <w:sz w:val="22"/>
                <w:szCs w:val="22"/>
                <w:shd w:val="clear" w:color="auto" w:fill="FFFFFF"/>
              </w:rPr>
              <w:t>MCI: 7 (5.3%)</w:t>
            </w:r>
          </w:p>
        </w:tc>
        <w:tc>
          <w:tcPr>
            <w:tcW w:w="2370" w:type="dxa"/>
            <w:shd w:val="clear" w:color="auto" w:fill="auto"/>
          </w:tcPr>
          <w:p w14:paraId="705ED475" w14:textId="62C53553"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Controls: 8 (21%); sda</w:t>
            </w:r>
            <w:r w:rsidR="006C3755">
              <w:rPr>
                <w:rFonts w:ascii="Times New Roman" w:eastAsia="Times New Roman" w:hAnsi="Times New Roman"/>
                <w:color w:val="1C1D1E"/>
                <w:sz w:val="22"/>
                <w:szCs w:val="22"/>
                <w:shd w:val="clear" w:color="auto" w:fill="FFFFFF"/>
              </w:rPr>
              <w:t>-</w:t>
            </w:r>
            <w:r w:rsidRPr="00991A6F">
              <w:rPr>
                <w:rFonts w:ascii="Times New Roman" w:eastAsia="Times New Roman" w:hAnsi="Times New Roman"/>
                <w:color w:val="1C1D1E"/>
                <w:sz w:val="22"/>
                <w:szCs w:val="22"/>
                <w:shd w:val="clear" w:color="auto" w:fill="FFFFFF"/>
              </w:rPr>
              <w:t>MCI: 12 (31.6%); na</w:t>
            </w:r>
            <w:r w:rsidR="006C3755">
              <w:rPr>
                <w:rFonts w:ascii="Times New Roman" w:eastAsia="Times New Roman" w:hAnsi="Times New Roman"/>
                <w:color w:val="1C1D1E"/>
                <w:sz w:val="22"/>
                <w:szCs w:val="22"/>
                <w:shd w:val="clear" w:color="auto" w:fill="FFFFFF"/>
              </w:rPr>
              <w:t>-</w:t>
            </w:r>
            <w:r w:rsidRPr="00991A6F">
              <w:rPr>
                <w:rFonts w:ascii="Times New Roman" w:eastAsia="Times New Roman" w:hAnsi="Times New Roman"/>
                <w:color w:val="1C1D1E"/>
                <w:sz w:val="22"/>
                <w:szCs w:val="22"/>
                <w:shd w:val="clear" w:color="auto" w:fill="FFFFFF"/>
              </w:rPr>
              <w:t>MCI: 3 (7.9%); ma</w:t>
            </w:r>
            <w:r w:rsidR="006C3755">
              <w:rPr>
                <w:rFonts w:ascii="Times New Roman" w:eastAsia="Times New Roman" w:hAnsi="Times New Roman"/>
                <w:color w:val="1C1D1E"/>
                <w:sz w:val="22"/>
                <w:szCs w:val="22"/>
                <w:shd w:val="clear" w:color="auto" w:fill="FFFFFF"/>
              </w:rPr>
              <w:t>-</w:t>
            </w:r>
            <w:r w:rsidRPr="00991A6F">
              <w:rPr>
                <w:rFonts w:ascii="Times New Roman" w:eastAsia="Times New Roman" w:hAnsi="Times New Roman"/>
                <w:color w:val="1C1D1E"/>
                <w:sz w:val="22"/>
                <w:szCs w:val="22"/>
                <w:shd w:val="clear" w:color="auto" w:fill="FFFFFF"/>
              </w:rPr>
              <w:t>MCI: 15 (39.5%)</w:t>
            </w:r>
          </w:p>
        </w:tc>
        <w:tc>
          <w:tcPr>
            <w:tcW w:w="1501" w:type="dxa"/>
            <w:shd w:val="clear" w:color="auto" w:fill="auto"/>
          </w:tcPr>
          <w:p w14:paraId="01097FD3" w14:textId="77777777" w:rsidR="00C035B6" w:rsidRPr="00991A6F" w:rsidRDefault="00C035B6"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shd w:val="clear" w:color="auto" w:fill="FFFFFF"/>
              </w:rPr>
              <w:t>χ</w:t>
            </w:r>
            <w:r w:rsidRPr="00991A6F">
              <w:rPr>
                <w:rFonts w:ascii="Times New Roman" w:eastAsia="Times New Roman" w:hAnsi="Times New Roman"/>
                <w:color w:val="1C1D1E"/>
                <w:sz w:val="22"/>
                <w:szCs w:val="22"/>
                <w:shd w:val="clear" w:color="auto" w:fill="FFFFFF"/>
                <w:vertAlign w:val="superscript"/>
              </w:rPr>
              <w:t>2</w:t>
            </w:r>
            <w:r w:rsidRPr="00991A6F">
              <w:rPr>
                <w:rFonts w:ascii="Times New Roman" w:eastAsia="Times New Roman" w:hAnsi="Times New Roman"/>
                <w:color w:val="1C1D1E"/>
                <w:sz w:val="22"/>
                <w:szCs w:val="22"/>
                <w:shd w:val="clear" w:color="auto" w:fill="FFFFFF"/>
              </w:rPr>
              <w:t xml:space="preserve"> =46.04**</w:t>
            </w:r>
          </w:p>
        </w:tc>
      </w:tr>
    </w:tbl>
    <w:p w14:paraId="1FF462AB" w14:textId="77777777" w:rsidR="00C035B6" w:rsidRPr="000B70C6" w:rsidRDefault="00C035B6" w:rsidP="00C035B6">
      <w:pPr>
        <w:spacing w:line="360" w:lineRule="auto"/>
        <w:rPr>
          <w:rFonts w:ascii="Times New Roman" w:eastAsia="Times New Roman" w:hAnsi="Times New Roman"/>
          <w:color w:val="1C1D1E"/>
          <w:sz w:val="20"/>
          <w:szCs w:val="20"/>
        </w:rPr>
      </w:pPr>
      <w:r w:rsidRPr="000B70C6">
        <w:rPr>
          <w:rFonts w:ascii="Times New Roman" w:eastAsia="Times New Roman" w:hAnsi="Times New Roman"/>
          <w:color w:val="1C1D1E"/>
          <w:sz w:val="20"/>
          <w:szCs w:val="20"/>
          <w:shd w:val="clear" w:color="auto" w:fill="FFFFFF"/>
        </w:rPr>
        <w:t xml:space="preserve">** </w:t>
      </w:r>
      <w:r w:rsidRPr="000B70C6">
        <w:rPr>
          <w:rFonts w:ascii="Times New Roman" w:eastAsia="Times New Roman" w:hAnsi="Times New Roman"/>
          <w:i/>
          <w:iCs/>
          <w:color w:val="1C1D1E"/>
          <w:sz w:val="20"/>
          <w:szCs w:val="20"/>
          <w:shd w:val="clear" w:color="auto" w:fill="FFFFFF"/>
        </w:rPr>
        <w:t>p</w:t>
      </w:r>
      <w:r w:rsidRPr="000B70C6">
        <w:rPr>
          <w:rFonts w:ascii="Times New Roman" w:eastAsia="Times New Roman" w:hAnsi="Times New Roman"/>
          <w:color w:val="1C1D1E"/>
          <w:sz w:val="20"/>
          <w:szCs w:val="20"/>
          <w:shd w:val="clear" w:color="auto" w:fill="FFFFFF"/>
        </w:rPr>
        <w:t>&lt;0.01 *</w:t>
      </w:r>
      <w:r w:rsidRPr="000B70C6">
        <w:rPr>
          <w:rFonts w:ascii="Times New Roman" w:eastAsia="Times New Roman" w:hAnsi="Times New Roman"/>
          <w:i/>
          <w:iCs/>
          <w:color w:val="1C1D1E"/>
          <w:sz w:val="20"/>
          <w:szCs w:val="20"/>
          <w:shd w:val="clear" w:color="auto" w:fill="FFFFFF"/>
        </w:rPr>
        <w:t>p</w:t>
      </w:r>
      <w:r w:rsidRPr="000B70C6">
        <w:rPr>
          <w:rFonts w:ascii="Times New Roman" w:eastAsia="Times New Roman" w:hAnsi="Times New Roman"/>
          <w:color w:val="1C1D1E"/>
          <w:sz w:val="20"/>
          <w:szCs w:val="20"/>
          <w:shd w:val="clear" w:color="auto" w:fill="FFFFFF"/>
        </w:rPr>
        <w:t>&lt;0.05</w:t>
      </w:r>
    </w:p>
    <w:p w14:paraId="7D79F59C" w14:textId="77777777" w:rsidR="000C5279" w:rsidRDefault="00245F51" w:rsidP="008F5C12">
      <w:r>
        <w:br w:type="page"/>
      </w:r>
    </w:p>
    <w:p w14:paraId="4AD06A6A" w14:textId="77777777" w:rsidR="00864AA6" w:rsidRPr="00864AA6" w:rsidRDefault="00864AA6" w:rsidP="008F5C12">
      <w:pPr>
        <w:rPr>
          <w:rFonts w:ascii="Times New Roman" w:eastAsia="Times New Roman" w:hAnsi="Times New Roman"/>
          <w:color w:val="1C1D1E"/>
          <w:sz w:val="22"/>
          <w:szCs w:val="22"/>
          <w:shd w:val="clear" w:color="auto" w:fill="FFFFFF"/>
        </w:rPr>
      </w:pPr>
      <w:r w:rsidRPr="00864AA6">
        <w:rPr>
          <w:rFonts w:ascii="Times New Roman" w:eastAsia="Times New Roman" w:hAnsi="Times New Roman"/>
          <w:color w:val="1C1D1E"/>
          <w:sz w:val="22"/>
          <w:szCs w:val="22"/>
          <w:shd w:val="clear" w:color="auto" w:fill="FFFFFF"/>
        </w:rPr>
        <w:t>Table 3. Metrics for prediction of converter and non-converter participants</w:t>
      </w:r>
    </w:p>
    <w:p w14:paraId="388F5161" w14:textId="77777777" w:rsidR="00864AA6" w:rsidRPr="00864AA6" w:rsidRDefault="00864AA6" w:rsidP="008F5C12">
      <w:pPr>
        <w:rPr>
          <w:rFonts w:ascii="Times New Roman" w:eastAsia="Times New Roman" w:hAnsi="Times New Roman"/>
          <w:color w:val="1C1D1E"/>
          <w:sz w:val="22"/>
          <w:szCs w:val="22"/>
          <w:shd w:val="clear" w:color="auto" w:fill="FFFFFF"/>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3085"/>
        <w:gridCol w:w="1276"/>
        <w:gridCol w:w="1134"/>
        <w:gridCol w:w="992"/>
        <w:gridCol w:w="992"/>
        <w:gridCol w:w="1071"/>
      </w:tblGrid>
      <w:tr w:rsidR="00864AA6" w:rsidRPr="00991A6F" w14:paraId="29D13F0B" w14:textId="77777777" w:rsidTr="00886897">
        <w:tc>
          <w:tcPr>
            <w:tcW w:w="3085" w:type="dxa"/>
            <w:shd w:val="clear" w:color="auto" w:fill="auto"/>
          </w:tcPr>
          <w:p w14:paraId="6D31CD27" w14:textId="77777777" w:rsidR="00864AA6" w:rsidRPr="00991A6F" w:rsidRDefault="00864AA6" w:rsidP="00886897">
            <w:pPr>
              <w:spacing w:line="360" w:lineRule="auto"/>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ALGORITHMS</w:t>
            </w:r>
          </w:p>
        </w:tc>
        <w:tc>
          <w:tcPr>
            <w:tcW w:w="1276" w:type="dxa"/>
            <w:shd w:val="clear" w:color="auto" w:fill="auto"/>
            <w:vAlign w:val="center"/>
          </w:tcPr>
          <w:p w14:paraId="2A9845FC"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Accuracy↓</w:t>
            </w:r>
          </w:p>
        </w:tc>
        <w:tc>
          <w:tcPr>
            <w:tcW w:w="1134" w:type="dxa"/>
            <w:shd w:val="clear" w:color="auto" w:fill="auto"/>
            <w:vAlign w:val="center"/>
          </w:tcPr>
          <w:p w14:paraId="2EC18EEB"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Precision</w:t>
            </w:r>
          </w:p>
        </w:tc>
        <w:tc>
          <w:tcPr>
            <w:tcW w:w="992" w:type="dxa"/>
            <w:shd w:val="clear" w:color="auto" w:fill="auto"/>
            <w:vAlign w:val="center"/>
          </w:tcPr>
          <w:p w14:paraId="529493F4"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Recall</w:t>
            </w:r>
          </w:p>
        </w:tc>
        <w:tc>
          <w:tcPr>
            <w:tcW w:w="992" w:type="dxa"/>
            <w:shd w:val="clear" w:color="auto" w:fill="auto"/>
            <w:vAlign w:val="center"/>
          </w:tcPr>
          <w:p w14:paraId="28FCD587"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F1</w:t>
            </w:r>
          </w:p>
          <w:p w14:paraId="06986660"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score</w:t>
            </w:r>
          </w:p>
        </w:tc>
        <w:tc>
          <w:tcPr>
            <w:tcW w:w="1071" w:type="dxa"/>
            <w:shd w:val="clear" w:color="auto" w:fill="auto"/>
            <w:vAlign w:val="center"/>
          </w:tcPr>
          <w:p w14:paraId="1F9C2B8C"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K</w:t>
            </w:r>
          </w:p>
          <w:p w14:paraId="453F55F4"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(Cohen’s Kappa)</w:t>
            </w:r>
          </w:p>
        </w:tc>
      </w:tr>
      <w:tr w:rsidR="00864AA6" w:rsidRPr="00991A6F" w14:paraId="2473FE7A" w14:textId="77777777" w:rsidTr="00886897">
        <w:tc>
          <w:tcPr>
            <w:tcW w:w="3085" w:type="dxa"/>
            <w:shd w:val="clear" w:color="auto" w:fill="auto"/>
          </w:tcPr>
          <w:p w14:paraId="5B6C54D2" w14:textId="77777777" w:rsidR="00864AA6" w:rsidRPr="00991A6F" w:rsidRDefault="00864AA6" w:rsidP="00886897">
            <w:pPr>
              <w:spacing w:line="360" w:lineRule="auto"/>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Gradient Boosting Classifier</w:t>
            </w:r>
          </w:p>
        </w:tc>
        <w:tc>
          <w:tcPr>
            <w:tcW w:w="1276" w:type="dxa"/>
            <w:shd w:val="clear" w:color="auto" w:fill="auto"/>
            <w:vAlign w:val="center"/>
          </w:tcPr>
          <w:p w14:paraId="65FEF599"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0.93</w:t>
            </w:r>
          </w:p>
        </w:tc>
        <w:tc>
          <w:tcPr>
            <w:tcW w:w="1134" w:type="dxa"/>
            <w:shd w:val="clear" w:color="auto" w:fill="auto"/>
            <w:vAlign w:val="center"/>
          </w:tcPr>
          <w:p w14:paraId="0120CB59"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0.88</w:t>
            </w:r>
          </w:p>
        </w:tc>
        <w:tc>
          <w:tcPr>
            <w:tcW w:w="992" w:type="dxa"/>
            <w:shd w:val="clear" w:color="auto" w:fill="auto"/>
            <w:vAlign w:val="center"/>
          </w:tcPr>
          <w:p w14:paraId="6225C3DC"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0.88</w:t>
            </w:r>
          </w:p>
        </w:tc>
        <w:tc>
          <w:tcPr>
            <w:tcW w:w="992" w:type="dxa"/>
            <w:shd w:val="clear" w:color="auto" w:fill="auto"/>
            <w:vAlign w:val="center"/>
          </w:tcPr>
          <w:p w14:paraId="5DD7C768"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0.86</w:t>
            </w:r>
          </w:p>
        </w:tc>
        <w:tc>
          <w:tcPr>
            <w:tcW w:w="1071" w:type="dxa"/>
            <w:shd w:val="clear" w:color="auto" w:fill="auto"/>
            <w:vAlign w:val="center"/>
          </w:tcPr>
          <w:p w14:paraId="3A09C915"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0.82</w:t>
            </w:r>
          </w:p>
        </w:tc>
      </w:tr>
      <w:tr w:rsidR="00864AA6" w:rsidRPr="00991A6F" w14:paraId="1235F34C" w14:textId="77777777" w:rsidTr="00886897">
        <w:tc>
          <w:tcPr>
            <w:tcW w:w="3085" w:type="dxa"/>
            <w:shd w:val="clear" w:color="auto" w:fill="auto"/>
          </w:tcPr>
          <w:p w14:paraId="10F64B9D" w14:textId="77777777" w:rsidR="00864AA6" w:rsidRPr="00991A6F" w:rsidRDefault="00864AA6" w:rsidP="00886897">
            <w:pPr>
              <w:spacing w:line="360" w:lineRule="auto"/>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Random Forest Classifier</w:t>
            </w:r>
          </w:p>
        </w:tc>
        <w:tc>
          <w:tcPr>
            <w:tcW w:w="1276" w:type="dxa"/>
            <w:shd w:val="clear" w:color="auto" w:fill="auto"/>
            <w:vAlign w:val="center"/>
          </w:tcPr>
          <w:p w14:paraId="53BF8FD7"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0.92</w:t>
            </w:r>
          </w:p>
        </w:tc>
        <w:tc>
          <w:tcPr>
            <w:tcW w:w="1134" w:type="dxa"/>
            <w:shd w:val="clear" w:color="auto" w:fill="auto"/>
            <w:vAlign w:val="center"/>
          </w:tcPr>
          <w:p w14:paraId="76FE01B8"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0.86</w:t>
            </w:r>
          </w:p>
        </w:tc>
        <w:tc>
          <w:tcPr>
            <w:tcW w:w="992" w:type="dxa"/>
            <w:shd w:val="clear" w:color="auto" w:fill="auto"/>
            <w:vAlign w:val="center"/>
          </w:tcPr>
          <w:p w14:paraId="0994EF27"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0.73</w:t>
            </w:r>
          </w:p>
        </w:tc>
        <w:tc>
          <w:tcPr>
            <w:tcW w:w="992" w:type="dxa"/>
            <w:shd w:val="clear" w:color="auto" w:fill="auto"/>
            <w:vAlign w:val="center"/>
          </w:tcPr>
          <w:p w14:paraId="31A74FA9"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0.79</w:t>
            </w:r>
          </w:p>
        </w:tc>
        <w:tc>
          <w:tcPr>
            <w:tcW w:w="1071" w:type="dxa"/>
            <w:shd w:val="clear" w:color="auto" w:fill="auto"/>
            <w:vAlign w:val="center"/>
          </w:tcPr>
          <w:p w14:paraId="7AA7CB7A"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0.71</w:t>
            </w:r>
          </w:p>
        </w:tc>
      </w:tr>
      <w:tr w:rsidR="00864AA6" w:rsidRPr="00991A6F" w14:paraId="1189D485" w14:textId="77777777" w:rsidTr="00886897">
        <w:tc>
          <w:tcPr>
            <w:tcW w:w="3085" w:type="dxa"/>
            <w:shd w:val="clear" w:color="auto" w:fill="auto"/>
          </w:tcPr>
          <w:p w14:paraId="3AC35458" w14:textId="77777777" w:rsidR="00864AA6" w:rsidRPr="00991A6F" w:rsidRDefault="00864AA6" w:rsidP="00886897">
            <w:pPr>
              <w:spacing w:line="360" w:lineRule="auto"/>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Ada Boost Classifier</w:t>
            </w:r>
          </w:p>
        </w:tc>
        <w:tc>
          <w:tcPr>
            <w:tcW w:w="1276" w:type="dxa"/>
            <w:shd w:val="clear" w:color="auto" w:fill="auto"/>
            <w:vAlign w:val="center"/>
          </w:tcPr>
          <w:p w14:paraId="72879479"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0.90</w:t>
            </w:r>
          </w:p>
        </w:tc>
        <w:tc>
          <w:tcPr>
            <w:tcW w:w="1134" w:type="dxa"/>
            <w:shd w:val="clear" w:color="auto" w:fill="auto"/>
            <w:vAlign w:val="center"/>
          </w:tcPr>
          <w:p w14:paraId="5657E45C"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0.82</w:t>
            </w:r>
          </w:p>
        </w:tc>
        <w:tc>
          <w:tcPr>
            <w:tcW w:w="992" w:type="dxa"/>
            <w:shd w:val="clear" w:color="auto" w:fill="auto"/>
            <w:vAlign w:val="center"/>
          </w:tcPr>
          <w:p w14:paraId="04E087C0"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0.78</w:t>
            </w:r>
          </w:p>
        </w:tc>
        <w:tc>
          <w:tcPr>
            <w:tcW w:w="992" w:type="dxa"/>
            <w:shd w:val="clear" w:color="auto" w:fill="auto"/>
            <w:vAlign w:val="center"/>
          </w:tcPr>
          <w:p w14:paraId="34C47A90"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0.79</w:t>
            </w:r>
          </w:p>
        </w:tc>
        <w:tc>
          <w:tcPr>
            <w:tcW w:w="1071" w:type="dxa"/>
            <w:shd w:val="clear" w:color="auto" w:fill="auto"/>
            <w:vAlign w:val="center"/>
          </w:tcPr>
          <w:p w14:paraId="709EA76C"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0.73</w:t>
            </w:r>
          </w:p>
        </w:tc>
      </w:tr>
      <w:tr w:rsidR="00864AA6" w:rsidRPr="00991A6F" w14:paraId="1E83F6D8" w14:textId="77777777" w:rsidTr="00886897">
        <w:tc>
          <w:tcPr>
            <w:tcW w:w="3085" w:type="dxa"/>
            <w:shd w:val="clear" w:color="auto" w:fill="auto"/>
          </w:tcPr>
          <w:p w14:paraId="6FAAB693" w14:textId="77777777" w:rsidR="00864AA6" w:rsidRPr="00991A6F" w:rsidRDefault="00864AA6" w:rsidP="00886897">
            <w:pPr>
              <w:spacing w:line="360" w:lineRule="auto"/>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Extra Trees Classifier</w:t>
            </w:r>
          </w:p>
        </w:tc>
        <w:tc>
          <w:tcPr>
            <w:tcW w:w="1276" w:type="dxa"/>
            <w:shd w:val="clear" w:color="auto" w:fill="auto"/>
            <w:vAlign w:val="center"/>
          </w:tcPr>
          <w:p w14:paraId="032B1174"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0.86</w:t>
            </w:r>
          </w:p>
        </w:tc>
        <w:tc>
          <w:tcPr>
            <w:tcW w:w="1134" w:type="dxa"/>
            <w:shd w:val="clear" w:color="auto" w:fill="auto"/>
            <w:vAlign w:val="center"/>
          </w:tcPr>
          <w:p w14:paraId="26493FEC"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0.79</w:t>
            </w:r>
          </w:p>
        </w:tc>
        <w:tc>
          <w:tcPr>
            <w:tcW w:w="992" w:type="dxa"/>
            <w:shd w:val="clear" w:color="auto" w:fill="auto"/>
            <w:vAlign w:val="center"/>
          </w:tcPr>
          <w:p w14:paraId="6325FDBA"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0.55</w:t>
            </w:r>
          </w:p>
        </w:tc>
        <w:tc>
          <w:tcPr>
            <w:tcW w:w="992" w:type="dxa"/>
            <w:shd w:val="clear" w:color="auto" w:fill="auto"/>
            <w:vAlign w:val="center"/>
          </w:tcPr>
          <w:p w14:paraId="4383B3DE"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0.64</w:t>
            </w:r>
          </w:p>
        </w:tc>
        <w:tc>
          <w:tcPr>
            <w:tcW w:w="1071" w:type="dxa"/>
            <w:shd w:val="clear" w:color="auto" w:fill="auto"/>
            <w:vAlign w:val="center"/>
          </w:tcPr>
          <w:p w14:paraId="2E9829AF"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0.52</w:t>
            </w:r>
          </w:p>
        </w:tc>
      </w:tr>
      <w:tr w:rsidR="00864AA6" w:rsidRPr="00991A6F" w14:paraId="77AFE87F" w14:textId="77777777" w:rsidTr="00886897">
        <w:tc>
          <w:tcPr>
            <w:tcW w:w="3085" w:type="dxa"/>
            <w:shd w:val="clear" w:color="auto" w:fill="auto"/>
          </w:tcPr>
          <w:p w14:paraId="47A16EE5" w14:textId="77777777" w:rsidR="00864AA6" w:rsidRPr="00991A6F" w:rsidRDefault="00864AA6" w:rsidP="00886897">
            <w:pPr>
              <w:spacing w:line="360" w:lineRule="auto"/>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Support Vector Machine</w:t>
            </w:r>
          </w:p>
        </w:tc>
        <w:tc>
          <w:tcPr>
            <w:tcW w:w="1276" w:type="dxa"/>
            <w:shd w:val="clear" w:color="auto" w:fill="auto"/>
            <w:vAlign w:val="center"/>
          </w:tcPr>
          <w:p w14:paraId="17282A66"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0.85</w:t>
            </w:r>
          </w:p>
        </w:tc>
        <w:tc>
          <w:tcPr>
            <w:tcW w:w="1134" w:type="dxa"/>
            <w:shd w:val="clear" w:color="auto" w:fill="auto"/>
            <w:vAlign w:val="center"/>
          </w:tcPr>
          <w:p w14:paraId="7AEF5169"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0.73</w:t>
            </w:r>
          </w:p>
        </w:tc>
        <w:tc>
          <w:tcPr>
            <w:tcW w:w="992" w:type="dxa"/>
            <w:shd w:val="clear" w:color="auto" w:fill="auto"/>
            <w:vAlign w:val="center"/>
          </w:tcPr>
          <w:p w14:paraId="4A13187D"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0.60</w:t>
            </w:r>
          </w:p>
        </w:tc>
        <w:tc>
          <w:tcPr>
            <w:tcW w:w="992" w:type="dxa"/>
            <w:shd w:val="clear" w:color="auto" w:fill="auto"/>
            <w:vAlign w:val="center"/>
          </w:tcPr>
          <w:p w14:paraId="599F4A40"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0.64</w:t>
            </w:r>
          </w:p>
        </w:tc>
        <w:tc>
          <w:tcPr>
            <w:tcW w:w="1071" w:type="dxa"/>
            <w:shd w:val="clear" w:color="auto" w:fill="auto"/>
            <w:vAlign w:val="center"/>
          </w:tcPr>
          <w:p w14:paraId="4EF06718"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0.54</w:t>
            </w:r>
          </w:p>
        </w:tc>
      </w:tr>
      <w:tr w:rsidR="00864AA6" w:rsidRPr="00991A6F" w14:paraId="6E2D19E9" w14:textId="77777777" w:rsidTr="00886897">
        <w:tc>
          <w:tcPr>
            <w:tcW w:w="3085" w:type="dxa"/>
            <w:shd w:val="clear" w:color="auto" w:fill="auto"/>
          </w:tcPr>
          <w:p w14:paraId="327735BE" w14:textId="77777777" w:rsidR="00864AA6" w:rsidRPr="00991A6F" w:rsidRDefault="00864AA6" w:rsidP="00886897">
            <w:pPr>
              <w:spacing w:line="360" w:lineRule="auto"/>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Logistic Regression</w:t>
            </w:r>
          </w:p>
        </w:tc>
        <w:tc>
          <w:tcPr>
            <w:tcW w:w="1276" w:type="dxa"/>
            <w:shd w:val="clear" w:color="auto" w:fill="auto"/>
            <w:vAlign w:val="center"/>
          </w:tcPr>
          <w:p w14:paraId="22557931"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0.84</w:t>
            </w:r>
          </w:p>
        </w:tc>
        <w:tc>
          <w:tcPr>
            <w:tcW w:w="1134" w:type="dxa"/>
            <w:shd w:val="clear" w:color="auto" w:fill="auto"/>
            <w:vAlign w:val="center"/>
          </w:tcPr>
          <w:p w14:paraId="441704FF"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0.74</w:t>
            </w:r>
          </w:p>
        </w:tc>
        <w:tc>
          <w:tcPr>
            <w:tcW w:w="992" w:type="dxa"/>
            <w:shd w:val="clear" w:color="auto" w:fill="auto"/>
            <w:vAlign w:val="center"/>
          </w:tcPr>
          <w:p w14:paraId="42278D51"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0.39</w:t>
            </w:r>
          </w:p>
        </w:tc>
        <w:tc>
          <w:tcPr>
            <w:tcW w:w="992" w:type="dxa"/>
            <w:shd w:val="clear" w:color="auto" w:fill="auto"/>
            <w:vAlign w:val="center"/>
          </w:tcPr>
          <w:p w14:paraId="02653EBC"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0.49</w:t>
            </w:r>
          </w:p>
        </w:tc>
        <w:tc>
          <w:tcPr>
            <w:tcW w:w="1071" w:type="dxa"/>
            <w:shd w:val="clear" w:color="auto" w:fill="auto"/>
            <w:vAlign w:val="center"/>
          </w:tcPr>
          <w:p w14:paraId="012471C4"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0.42</w:t>
            </w:r>
          </w:p>
        </w:tc>
      </w:tr>
      <w:tr w:rsidR="00864AA6" w:rsidRPr="00991A6F" w14:paraId="6999B2AF" w14:textId="77777777" w:rsidTr="00886897">
        <w:tc>
          <w:tcPr>
            <w:tcW w:w="3085" w:type="dxa"/>
            <w:shd w:val="clear" w:color="auto" w:fill="auto"/>
          </w:tcPr>
          <w:p w14:paraId="5347E8D6" w14:textId="77777777" w:rsidR="00864AA6" w:rsidRPr="00991A6F" w:rsidRDefault="00864AA6" w:rsidP="00886897">
            <w:pPr>
              <w:spacing w:line="360" w:lineRule="auto"/>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Gaussian Naive Bayes</w:t>
            </w:r>
          </w:p>
        </w:tc>
        <w:tc>
          <w:tcPr>
            <w:tcW w:w="1276" w:type="dxa"/>
            <w:shd w:val="clear" w:color="auto" w:fill="auto"/>
            <w:vAlign w:val="center"/>
          </w:tcPr>
          <w:p w14:paraId="08BC47D1"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0.84</w:t>
            </w:r>
          </w:p>
        </w:tc>
        <w:tc>
          <w:tcPr>
            <w:tcW w:w="1134" w:type="dxa"/>
            <w:shd w:val="clear" w:color="auto" w:fill="auto"/>
            <w:vAlign w:val="center"/>
          </w:tcPr>
          <w:p w14:paraId="3A1BC9E2"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0.65</w:t>
            </w:r>
          </w:p>
        </w:tc>
        <w:tc>
          <w:tcPr>
            <w:tcW w:w="992" w:type="dxa"/>
            <w:shd w:val="clear" w:color="auto" w:fill="auto"/>
            <w:vAlign w:val="center"/>
          </w:tcPr>
          <w:p w14:paraId="571CBC57"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0.79</w:t>
            </w:r>
          </w:p>
        </w:tc>
        <w:tc>
          <w:tcPr>
            <w:tcW w:w="992" w:type="dxa"/>
            <w:shd w:val="clear" w:color="auto" w:fill="auto"/>
            <w:vAlign w:val="center"/>
          </w:tcPr>
          <w:p w14:paraId="04723C43"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0.69</w:t>
            </w:r>
          </w:p>
        </w:tc>
        <w:tc>
          <w:tcPr>
            <w:tcW w:w="1071" w:type="dxa"/>
            <w:shd w:val="clear" w:color="auto" w:fill="auto"/>
            <w:vAlign w:val="center"/>
          </w:tcPr>
          <w:p w14:paraId="2D7E83F9"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0.58</w:t>
            </w:r>
          </w:p>
        </w:tc>
      </w:tr>
      <w:tr w:rsidR="00864AA6" w:rsidRPr="00991A6F" w14:paraId="1E8F14D7" w14:textId="77777777" w:rsidTr="00886897">
        <w:tc>
          <w:tcPr>
            <w:tcW w:w="3085" w:type="dxa"/>
            <w:shd w:val="clear" w:color="auto" w:fill="auto"/>
          </w:tcPr>
          <w:p w14:paraId="4868CB80" w14:textId="77777777" w:rsidR="00864AA6" w:rsidRPr="00991A6F" w:rsidRDefault="00864AA6" w:rsidP="00886897">
            <w:pPr>
              <w:spacing w:line="360" w:lineRule="auto"/>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Artificial Neural Network</w:t>
            </w:r>
          </w:p>
        </w:tc>
        <w:tc>
          <w:tcPr>
            <w:tcW w:w="1276" w:type="dxa"/>
            <w:shd w:val="clear" w:color="auto" w:fill="auto"/>
            <w:vAlign w:val="center"/>
          </w:tcPr>
          <w:p w14:paraId="7753C4DD"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0.82</w:t>
            </w:r>
          </w:p>
        </w:tc>
        <w:tc>
          <w:tcPr>
            <w:tcW w:w="1134" w:type="dxa"/>
            <w:shd w:val="clear" w:color="auto" w:fill="auto"/>
            <w:vAlign w:val="center"/>
          </w:tcPr>
          <w:p w14:paraId="63B44A8B"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0.71</w:t>
            </w:r>
          </w:p>
        </w:tc>
        <w:tc>
          <w:tcPr>
            <w:tcW w:w="992" w:type="dxa"/>
            <w:shd w:val="clear" w:color="auto" w:fill="auto"/>
            <w:vAlign w:val="center"/>
          </w:tcPr>
          <w:p w14:paraId="169CA4DE"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0.48</w:t>
            </w:r>
          </w:p>
        </w:tc>
        <w:tc>
          <w:tcPr>
            <w:tcW w:w="992" w:type="dxa"/>
            <w:shd w:val="clear" w:color="auto" w:fill="auto"/>
            <w:vAlign w:val="center"/>
          </w:tcPr>
          <w:p w14:paraId="126DA17B"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0.50</w:t>
            </w:r>
          </w:p>
        </w:tc>
        <w:tc>
          <w:tcPr>
            <w:tcW w:w="1071" w:type="dxa"/>
            <w:shd w:val="clear" w:color="auto" w:fill="auto"/>
            <w:vAlign w:val="center"/>
          </w:tcPr>
          <w:p w14:paraId="12D8B471"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0.46</w:t>
            </w:r>
          </w:p>
        </w:tc>
      </w:tr>
      <w:tr w:rsidR="00864AA6" w:rsidRPr="00991A6F" w14:paraId="61E163CB" w14:textId="77777777" w:rsidTr="00886897">
        <w:tc>
          <w:tcPr>
            <w:tcW w:w="3085" w:type="dxa"/>
            <w:shd w:val="clear" w:color="auto" w:fill="auto"/>
          </w:tcPr>
          <w:p w14:paraId="721F4203" w14:textId="77777777" w:rsidR="00864AA6" w:rsidRPr="00991A6F" w:rsidRDefault="00864AA6" w:rsidP="00886897">
            <w:pPr>
              <w:spacing w:line="360" w:lineRule="auto"/>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Nearest Neighbour Classifier</w:t>
            </w:r>
          </w:p>
        </w:tc>
        <w:tc>
          <w:tcPr>
            <w:tcW w:w="1276" w:type="dxa"/>
            <w:shd w:val="clear" w:color="auto" w:fill="auto"/>
            <w:vAlign w:val="center"/>
          </w:tcPr>
          <w:p w14:paraId="343458FD"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0.79</w:t>
            </w:r>
          </w:p>
        </w:tc>
        <w:tc>
          <w:tcPr>
            <w:tcW w:w="1134" w:type="dxa"/>
            <w:shd w:val="clear" w:color="auto" w:fill="auto"/>
            <w:vAlign w:val="center"/>
          </w:tcPr>
          <w:p w14:paraId="5746AAF7"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0.56</w:t>
            </w:r>
          </w:p>
        </w:tc>
        <w:tc>
          <w:tcPr>
            <w:tcW w:w="992" w:type="dxa"/>
            <w:shd w:val="clear" w:color="auto" w:fill="auto"/>
            <w:vAlign w:val="center"/>
          </w:tcPr>
          <w:p w14:paraId="4D19A364"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0.41</w:t>
            </w:r>
          </w:p>
        </w:tc>
        <w:tc>
          <w:tcPr>
            <w:tcW w:w="992" w:type="dxa"/>
            <w:shd w:val="clear" w:color="auto" w:fill="auto"/>
            <w:vAlign w:val="center"/>
          </w:tcPr>
          <w:p w14:paraId="6B9E0F1D"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0.43</w:t>
            </w:r>
          </w:p>
        </w:tc>
        <w:tc>
          <w:tcPr>
            <w:tcW w:w="1071" w:type="dxa"/>
            <w:shd w:val="clear" w:color="auto" w:fill="auto"/>
            <w:vAlign w:val="center"/>
          </w:tcPr>
          <w:p w14:paraId="29B6B8EF" w14:textId="77777777" w:rsidR="00864AA6" w:rsidRPr="00991A6F" w:rsidRDefault="00864AA6" w:rsidP="00886897">
            <w:pPr>
              <w:spacing w:line="360" w:lineRule="auto"/>
              <w:jc w:val="center"/>
              <w:rPr>
                <w:rFonts w:ascii="Times New Roman" w:eastAsia="Times New Roman" w:hAnsi="Times New Roman"/>
                <w:color w:val="1C1D1E"/>
                <w:sz w:val="22"/>
                <w:szCs w:val="22"/>
                <w:shd w:val="clear" w:color="auto" w:fill="FFFFFF"/>
              </w:rPr>
            </w:pPr>
            <w:r w:rsidRPr="00991A6F">
              <w:rPr>
                <w:rFonts w:ascii="Times New Roman" w:eastAsia="Times New Roman" w:hAnsi="Times New Roman"/>
                <w:color w:val="1C1D1E"/>
                <w:sz w:val="22"/>
                <w:szCs w:val="22"/>
                <w:shd w:val="clear" w:color="auto" w:fill="FFFFFF"/>
              </w:rPr>
              <w:t>0.33</w:t>
            </w:r>
          </w:p>
        </w:tc>
      </w:tr>
    </w:tbl>
    <w:p w14:paraId="1EBE3AB7" w14:textId="77777777" w:rsidR="00864AA6" w:rsidRDefault="00864AA6" w:rsidP="008F5C12"/>
    <w:p w14:paraId="02DF3B67" w14:textId="77777777" w:rsidR="000C5279" w:rsidRDefault="000C5279" w:rsidP="008F5C12"/>
    <w:p w14:paraId="48F68561" w14:textId="77777777" w:rsidR="00864AA6" w:rsidRDefault="00864AA6" w:rsidP="008F5C12"/>
    <w:p w14:paraId="3467C577" w14:textId="77777777" w:rsidR="00864AA6" w:rsidRPr="007F2465" w:rsidRDefault="00245F51" w:rsidP="008F5C12">
      <w:pPr>
        <w:rPr>
          <w:rFonts w:ascii="Times New Roman" w:eastAsia="Times New Roman" w:hAnsi="Times New Roman"/>
          <w:color w:val="1C1D1E"/>
          <w:sz w:val="22"/>
          <w:szCs w:val="22"/>
          <w:shd w:val="clear" w:color="auto" w:fill="FFFFFF"/>
        </w:rPr>
      </w:pPr>
      <w:r>
        <w:rPr>
          <w:rFonts w:ascii="Times New Roman" w:eastAsia="Times New Roman" w:hAnsi="Times New Roman"/>
          <w:color w:val="1C1D1E"/>
          <w:sz w:val="22"/>
          <w:szCs w:val="22"/>
          <w:shd w:val="clear" w:color="auto" w:fill="FFFFFF"/>
        </w:rPr>
        <w:br w:type="page"/>
      </w:r>
      <w:r w:rsidR="007F2465" w:rsidRPr="007F2465">
        <w:rPr>
          <w:rFonts w:ascii="Times New Roman" w:eastAsia="Times New Roman" w:hAnsi="Times New Roman"/>
          <w:color w:val="1C1D1E"/>
          <w:sz w:val="22"/>
          <w:szCs w:val="22"/>
          <w:shd w:val="clear" w:color="auto" w:fill="FFFFFF"/>
        </w:rPr>
        <w:t>Table 4. Measuring the importance of different parameters with ensemble ML algorithms</w:t>
      </w:r>
    </w:p>
    <w:p w14:paraId="0C0F2DF1" w14:textId="77777777" w:rsidR="007F2465" w:rsidRDefault="007F2465" w:rsidP="008F5C1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3180"/>
        <w:gridCol w:w="1005"/>
        <w:gridCol w:w="3660"/>
        <w:gridCol w:w="735"/>
      </w:tblGrid>
      <w:tr w:rsidR="007F2465" w:rsidRPr="00991A6F" w14:paraId="0539BAE3" w14:textId="77777777" w:rsidTr="00886897">
        <w:tc>
          <w:tcPr>
            <w:tcW w:w="4185" w:type="dxa"/>
            <w:gridSpan w:val="2"/>
            <w:tcBorders>
              <w:bottom w:val="single" w:sz="4" w:space="0" w:color="auto"/>
            </w:tcBorders>
            <w:shd w:val="clear" w:color="auto" w:fill="auto"/>
          </w:tcPr>
          <w:p w14:paraId="3D622382" w14:textId="77777777" w:rsidR="007F2465" w:rsidRPr="00991A6F" w:rsidRDefault="007F2465" w:rsidP="00886897">
            <w:pPr>
              <w:spacing w:line="360" w:lineRule="auto"/>
              <w:jc w:val="center"/>
              <w:rPr>
                <w:rFonts w:ascii="Times New Roman" w:eastAsia="Times New Roman" w:hAnsi="Times New Roman"/>
                <w:b/>
                <w:bCs/>
                <w:color w:val="1C1D1E"/>
                <w:sz w:val="22"/>
                <w:szCs w:val="22"/>
              </w:rPr>
            </w:pPr>
            <w:r w:rsidRPr="00991A6F">
              <w:rPr>
                <w:rFonts w:ascii="Times New Roman" w:eastAsia="Times New Roman" w:hAnsi="Times New Roman"/>
                <w:b/>
                <w:bCs/>
                <w:color w:val="1C1D1E"/>
                <w:sz w:val="22"/>
                <w:szCs w:val="22"/>
              </w:rPr>
              <w:t>Random Forest Classifier</w:t>
            </w:r>
          </w:p>
        </w:tc>
        <w:tc>
          <w:tcPr>
            <w:tcW w:w="4395" w:type="dxa"/>
            <w:gridSpan w:val="2"/>
            <w:tcBorders>
              <w:bottom w:val="single" w:sz="4" w:space="0" w:color="auto"/>
            </w:tcBorders>
            <w:shd w:val="clear" w:color="auto" w:fill="auto"/>
          </w:tcPr>
          <w:p w14:paraId="78F90B77" w14:textId="77777777" w:rsidR="007F2465" w:rsidRPr="00991A6F" w:rsidRDefault="007F2465" w:rsidP="00886897">
            <w:pPr>
              <w:spacing w:line="360" w:lineRule="auto"/>
              <w:jc w:val="center"/>
              <w:rPr>
                <w:rFonts w:ascii="Times New Roman" w:eastAsia="Times New Roman" w:hAnsi="Times New Roman"/>
                <w:b/>
                <w:bCs/>
                <w:color w:val="1C1D1E"/>
                <w:sz w:val="22"/>
                <w:szCs w:val="22"/>
              </w:rPr>
            </w:pPr>
            <w:r w:rsidRPr="00991A6F">
              <w:rPr>
                <w:rFonts w:ascii="Times New Roman" w:eastAsia="Times New Roman" w:hAnsi="Times New Roman"/>
                <w:b/>
                <w:bCs/>
                <w:color w:val="1C1D1E"/>
                <w:sz w:val="22"/>
                <w:szCs w:val="22"/>
              </w:rPr>
              <w:t>Gradient Boosting Classifier</w:t>
            </w:r>
          </w:p>
        </w:tc>
      </w:tr>
      <w:tr w:rsidR="007F2465" w:rsidRPr="00991A6F" w14:paraId="5B63B368" w14:textId="77777777" w:rsidTr="00886897">
        <w:tc>
          <w:tcPr>
            <w:tcW w:w="3180" w:type="dxa"/>
            <w:shd w:val="clear" w:color="auto" w:fill="auto"/>
          </w:tcPr>
          <w:p w14:paraId="12C34440" w14:textId="77777777" w:rsidR="007F2465" w:rsidRPr="00991A6F" w:rsidRDefault="007F2465" w:rsidP="00886897">
            <w:pPr>
              <w:spacing w:line="360" w:lineRule="auto"/>
              <w:rPr>
                <w:rFonts w:ascii="Times New Roman" w:eastAsia="Times New Roman" w:hAnsi="Times New Roman"/>
                <w:b/>
                <w:bCs/>
                <w:color w:val="1C1D1E"/>
                <w:sz w:val="22"/>
                <w:szCs w:val="22"/>
              </w:rPr>
            </w:pPr>
            <w:r w:rsidRPr="00991A6F">
              <w:rPr>
                <w:rFonts w:ascii="Times New Roman" w:eastAsia="Times New Roman" w:hAnsi="Times New Roman"/>
                <w:bCs/>
                <w:color w:val="1C1D1E"/>
                <w:sz w:val="22"/>
                <w:szCs w:val="22"/>
              </w:rPr>
              <w:t>Months</w:t>
            </w:r>
          </w:p>
        </w:tc>
        <w:tc>
          <w:tcPr>
            <w:tcW w:w="1005" w:type="dxa"/>
            <w:shd w:val="clear" w:color="auto" w:fill="auto"/>
          </w:tcPr>
          <w:p w14:paraId="681DFE0D" w14:textId="77777777" w:rsidR="007F2465" w:rsidRPr="00991A6F" w:rsidRDefault="007F2465" w:rsidP="00886897">
            <w:pPr>
              <w:spacing w:line="360" w:lineRule="auto"/>
              <w:jc w:val="center"/>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0.31</w:t>
            </w:r>
          </w:p>
        </w:tc>
        <w:tc>
          <w:tcPr>
            <w:tcW w:w="3660" w:type="dxa"/>
            <w:shd w:val="clear" w:color="auto" w:fill="auto"/>
          </w:tcPr>
          <w:p w14:paraId="61A81868" w14:textId="77777777" w:rsidR="007F2465" w:rsidRPr="00991A6F" w:rsidRDefault="007F2465"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Months</w:t>
            </w:r>
          </w:p>
        </w:tc>
        <w:tc>
          <w:tcPr>
            <w:tcW w:w="735" w:type="dxa"/>
            <w:shd w:val="clear" w:color="auto" w:fill="auto"/>
          </w:tcPr>
          <w:p w14:paraId="08BD25E7" w14:textId="77777777" w:rsidR="007F2465" w:rsidRPr="00991A6F" w:rsidRDefault="007F2465" w:rsidP="00886897">
            <w:pPr>
              <w:spacing w:line="360" w:lineRule="auto"/>
              <w:jc w:val="center"/>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0.46</w:t>
            </w:r>
          </w:p>
        </w:tc>
      </w:tr>
      <w:tr w:rsidR="007F2465" w:rsidRPr="00991A6F" w14:paraId="713AD34B" w14:textId="77777777" w:rsidTr="00886897">
        <w:tc>
          <w:tcPr>
            <w:tcW w:w="3180" w:type="dxa"/>
            <w:shd w:val="clear" w:color="auto" w:fill="auto"/>
          </w:tcPr>
          <w:p w14:paraId="1AE6883B" w14:textId="77777777" w:rsidR="007F2465" w:rsidRPr="00991A6F" w:rsidRDefault="007F2465" w:rsidP="00886897">
            <w:pPr>
              <w:spacing w:line="360" w:lineRule="auto"/>
              <w:rPr>
                <w:rFonts w:ascii="Times New Roman" w:eastAsia="Times New Roman" w:hAnsi="Times New Roman"/>
                <w:b/>
                <w:bCs/>
                <w:color w:val="1C1D1E"/>
                <w:sz w:val="22"/>
                <w:szCs w:val="22"/>
              </w:rPr>
            </w:pPr>
            <w:r w:rsidRPr="00991A6F">
              <w:rPr>
                <w:rFonts w:ascii="Times New Roman" w:eastAsia="Times New Roman" w:hAnsi="Times New Roman"/>
                <w:bCs/>
                <w:color w:val="1C1D1E"/>
                <w:sz w:val="22"/>
                <w:szCs w:val="22"/>
              </w:rPr>
              <w:t>Age</w:t>
            </w:r>
          </w:p>
        </w:tc>
        <w:tc>
          <w:tcPr>
            <w:tcW w:w="1005" w:type="dxa"/>
            <w:shd w:val="clear" w:color="auto" w:fill="auto"/>
          </w:tcPr>
          <w:p w14:paraId="1905050B" w14:textId="77777777" w:rsidR="007F2465" w:rsidRPr="00991A6F" w:rsidRDefault="007F2465" w:rsidP="00886897">
            <w:pPr>
              <w:spacing w:line="360" w:lineRule="auto"/>
              <w:jc w:val="center"/>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0.20</w:t>
            </w:r>
          </w:p>
        </w:tc>
        <w:tc>
          <w:tcPr>
            <w:tcW w:w="3660" w:type="dxa"/>
            <w:shd w:val="clear" w:color="auto" w:fill="auto"/>
          </w:tcPr>
          <w:p w14:paraId="709F4704" w14:textId="77777777" w:rsidR="007F2465" w:rsidRPr="00991A6F" w:rsidRDefault="007F2465"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Age</w:t>
            </w:r>
          </w:p>
        </w:tc>
        <w:tc>
          <w:tcPr>
            <w:tcW w:w="735" w:type="dxa"/>
            <w:shd w:val="clear" w:color="auto" w:fill="auto"/>
          </w:tcPr>
          <w:p w14:paraId="2974645C" w14:textId="77777777" w:rsidR="007F2465" w:rsidRPr="00991A6F" w:rsidRDefault="007F2465" w:rsidP="00886897">
            <w:pPr>
              <w:spacing w:line="360" w:lineRule="auto"/>
              <w:jc w:val="center"/>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0.19</w:t>
            </w:r>
          </w:p>
        </w:tc>
      </w:tr>
      <w:tr w:rsidR="007F2465" w:rsidRPr="00991A6F" w14:paraId="4633A93D" w14:textId="77777777" w:rsidTr="00886897">
        <w:tc>
          <w:tcPr>
            <w:tcW w:w="3180" w:type="dxa"/>
            <w:shd w:val="clear" w:color="auto" w:fill="auto"/>
          </w:tcPr>
          <w:p w14:paraId="78C8D516" w14:textId="77777777" w:rsidR="007F2465" w:rsidRPr="00991A6F" w:rsidRDefault="007F2465" w:rsidP="00886897">
            <w:pPr>
              <w:spacing w:line="360" w:lineRule="auto"/>
              <w:rPr>
                <w:rFonts w:ascii="Times New Roman" w:eastAsia="Times New Roman" w:hAnsi="Times New Roman"/>
                <w:b/>
                <w:bCs/>
                <w:color w:val="1C1D1E"/>
                <w:sz w:val="22"/>
                <w:szCs w:val="22"/>
              </w:rPr>
            </w:pPr>
            <w:r w:rsidRPr="00991A6F">
              <w:rPr>
                <w:rFonts w:ascii="Times New Roman" w:eastAsia="Times New Roman" w:hAnsi="Times New Roman"/>
                <w:bCs/>
                <w:color w:val="1C1D1E"/>
                <w:sz w:val="22"/>
                <w:szCs w:val="22"/>
              </w:rPr>
              <w:t>Diagnosis at baseline</w:t>
            </w:r>
          </w:p>
        </w:tc>
        <w:tc>
          <w:tcPr>
            <w:tcW w:w="1005" w:type="dxa"/>
            <w:shd w:val="clear" w:color="auto" w:fill="auto"/>
          </w:tcPr>
          <w:p w14:paraId="4BA39C1C" w14:textId="77777777" w:rsidR="007F2465" w:rsidRPr="00991A6F" w:rsidRDefault="007F2465" w:rsidP="00886897">
            <w:pPr>
              <w:spacing w:line="360" w:lineRule="auto"/>
              <w:jc w:val="center"/>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0.12</w:t>
            </w:r>
          </w:p>
        </w:tc>
        <w:tc>
          <w:tcPr>
            <w:tcW w:w="3660" w:type="dxa"/>
            <w:shd w:val="clear" w:color="auto" w:fill="auto"/>
          </w:tcPr>
          <w:p w14:paraId="5EA8C665" w14:textId="77777777" w:rsidR="007F2465" w:rsidRPr="00991A6F" w:rsidRDefault="007F2465"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WAIS vocabulary score</w:t>
            </w:r>
          </w:p>
        </w:tc>
        <w:tc>
          <w:tcPr>
            <w:tcW w:w="735" w:type="dxa"/>
            <w:shd w:val="clear" w:color="auto" w:fill="auto"/>
          </w:tcPr>
          <w:p w14:paraId="0BD003EF" w14:textId="77777777" w:rsidR="007F2465" w:rsidRPr="00991A6F" w:rsidRDefault="007F2465" w:rsidP="00886897">
            <w:pPr>
              <w:spacing w:line="360" w:lineRule="auto"/>
              <w:jc w:val="center"/>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0.15</w:t>
            </w:r>
          </w:p>
        </w:tc>
      </w:tr>
      <w:tr w:rsidR="007F2465" w:rsidRPr="00991A6F" w14:paraId="76D1E3E2" w14:textId="77777777" w:rsidTr="00886897">
        <w:tc>
          <w:tcPr>
            <w:tcW w:w="3180" w:type="dxa"/>
            <w:shd w:val="clear" w:color="auto" w:fill="auto"/>
          </w:tcPr>
          <w:p w14:paraId="46F05297" w14:textId="77777777" w:rsidR="007F2465" w:rsidRPr="00991A6F" w:rsidRDefault="007F2465" w:rsidP="00886897">
            <w:pPr>
              <w:spacing w:line="360" w:lineRule="auto"/>
              <w:rPr>
                <w:rFonts w:ascii="Times New Roman" w:eastAsia="Times New Roman" w:hAnsi="Times New Roman"/>
                <w:b/>
                <w:bCs/>
                <w:color w:val="1C1D1E"/>
                <w:sz w:val="22"/>
                <w:szCs w:val="22"/>
              </w:rPr>
            </w:pPr>
            <w:r w:rsidRPr="00991A6F">
              <w:rPr>
                <w:rFonts w:ascii="Times New Roman" w:eastAsia="Times New Roman" w:hAnsi="Times New Roman"/>
                <w:bCs/>
                <w:color w:val="1C1D1E"/>
                <w:sz w:val="22"/>
                <w:szCs w:val="22"/>
              </w:rPr>
              <w:t>WAIS vocabulary score</w:t>
            </w:r>
          </w:p>
        </w:tc>
        <w:tc>
          <w:tcPr>
            <w:tcW w:w="1005" w:type="dxa"/>
            <w:shd w:val="clear" w:color="auto" w:fill="auto"/>
          </w:tcPr>
          <w:p w14:paraId="0C9D44FF" w14:textId="77777777" w:rsidR="007F2465" w:rsidRPr="00991A6F" w:rsidRDefault="007F2465" w:rsidP="00886897">
            <w:pPr>
              <w:spacing w:line="360" w:lineRule="auto"/>
              <w:jc w:val="center"/>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0.07</w:t>
            </w:r>
          </w:p>
        </w:tc>
        <w:tc>
          <w:tcPr>
            <w:tcW w:w="3660" w:type="dxa"/>
            <w:shd w:val="clear" w:color="auto" w:fill="auto"/>
          </w:tcPr>
          <w:p w14:paraId="086CB1D3" w14:textId="77777777" w:rsidR="007F2465" w:rsidRPr="00991A6F" w:rsidRDefault="007F2465"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Diagnosis at baseline</w:t>
            </w:r>
          </w:p>
        </w:tc>
        <w:tc>
          <w:tcPr>
            <w:tcW w:w="735" w:type="dxa"/>
            <w:shd w:val="clear" w:color="auto" w:fill="auto"/>
          </w:tcPr>
          <w:p w14:paraId="4CEE8E32" w14:textId="77777777" w:rsidR="007F2465" w:rsidRPr="00991A6F" w:rsidRDefault="007F2465" w:rsidP="00886897">
            <w:pPr>
              <w:spacing w:line="360" w:lineRule="auto"/>
              <w:jc w:val="center"/>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0.08</w:t>
            </w:r>
          </w:p>
        </w:tc>
      </w:tr>
      <w:tr w:rsidR="007F2465" w:rsidRPr="00991A6F" w14:paraId="51D179A7" w14:textId="77777777" w:rsidTr="00886897">
        <w:tc>
          <w:tcPr>
            <w:tcW w:w="3180" w:type="dxa"/>
            <w:shd w:val="clear" w:color="auto" w:fill="auto"/>
          </w:tcPr>
          <w:p w14:paraId="6D205F7E" w14:textId="77777777" w:rsidR="007F2465" w:rsidRPr="00991A6F" w:rsidRDefault="007F2465" w:rsidP="00886897">
            <w:pPr>
              <w:spacing w:line="360" w:lineRule="auto"/>
              <w:rPr>
                <w:rFonts w:ascii="Times New Roman" w:eastAsia="Times New Roman" w:hAnsi="Times New Roman"/>
                <w:b/>
                <w:bCs/>
                <w:color w:val="1C1D1E"/>
                <w:sz w:val="22"/>
                <w:szCs w:val="22"/>
              </w:rPr>
            </w:pPr>
            <w:r w:rsidRPr="00991A6F">
              <w:rPr>
                <w:rFonts w:ascii="Times New Roman" w:eastAsia="Times New Roman" w:hAnsi="Times New Roman"/>
                <w:bCs/>
                <w:color w:val="1C1D1E"/>
                <w:sz w:val="22"/>
                <w:szCs w:val="22"/>
              </w:rPr>
              <w:t>Peabody score</w:t>
            </w:r>
          </w:p>
        </w:tc>
        <w:tc>
          <w:tcPr>
            <w:tcW w:w="1005" w:type="dxa"/>
            <w:shd w:val="clear" w:color="auto" w:fill="auto"/>
          </w:tcPr>
          <w:p w14:paraId="0DFC517F" w14:textId="77777777" w:rsidR="007F2465" w:rsidRPr="00991A6F" w:rsidRDefault="007F2465" w:rsidP="00886897">
            <w:pPr>
              <w:spacing w:line="360" w:lineRule="auto"/>
              <w:jc w:val="center"/>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0.07</w:t>
            </w:r>
          </w:p>
        </w:tc>
        <w:tc>
          <w:tcPr>
            <w:tcW w:w="3660" w:type="dxa"/>
            <w:shd w:val="clear" w:color="auto" w:fill="auto"/>
          </w:tcPr>
          <w:p w14:paraId="23CF3E32" w14:textId="77777777" w:rsidR="007F2465" w:rsidRPr="00991A6F" w:rsidRDefault="007F2465"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Peabody score</w:t>
            </w:r>
          </w:p>
        </w:tc>
        <w:tc>
          <w:tcPr>
            <w:tcW w:w="735" w:type="dxa"/>
            <w:shd w:val="clear" w:color="auto" w:fill="auto"/>
          </w:tcPr>
          <w:p w14:paraId="6091BB76" w14:textId="77777777" w:rsidR="007F2465" w:rsidRPr="00991A6F" w:rsidRDefault="007F2465" w:rsidP="00886897">
            <w:pPr>
              <w:spacing w:line="360" w:lineRule="auto"/>
              <w:jc w:val="center"/>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0.07</w:t>
            </w:r>
          </w:p>
        </w:tc>
      </w:tr>
      <w:tr w:rsidR="007F2465" w:rsidRPr="00991A6F" w14:paraId="0ADFE908" w14:textId="77777777" w:rsidTr="00886897">
        <w:tc>
          <w:tcPr>
            <w:tcW w:w="3180" w:type="dxa"/>
            <w:shd w:val="clear" w:color="auto" w:fill="auto"/>
          </w:tcPr>
          <w:p w14:paraId="6C34E910" w14:textId="77777777" w:rsidR="007F2465" w:rsidRPr="00991A6F" w:rsidRDefault="007F2465" w:rsidP="00886897">
            <w:pPr>
              <w:spacing w:line="360" w:lineRule="auto"/>
              <w:rPr>
                <w:rFonts w:ascii="Times New Roman" w:eastAsia="Times New Roman" w:hAnsi="Times New Roman"/>
                <w:b/>
                <w:bCs/>
                <w:color w:val="1C1D1E"/>
                <w:sz w:val="22"/>
                <w:szCs w:val="22"/>
              </w:rPr>
            </w:pPr>
            <w:r w:rsidRPr="00991A6F">
              <w:rPr>
                <w:rFonts w:ascii="Times New Roman" w:eastAsia="Times New Roman" w:hAnsi="Times New Roman"/>
                <w:bCs/>
                <w:color w:val="1C1D1E"/>
                <w:sz w:val="22"/>
                <w:szCs w:val="22"/>
              </w:rPr>
              <w:t>Education (years)</w:t>
            </w:r>
          </w:p>
        </w:tc>
        <w:tc>
          <w:tcPr>
            <w:tcW w:w="1005" w:type="dxa"/>
            <w:shd w:val="clear" w:color="auto" w:fill="auto"/>
          </w:tcPr>
          <w:p w14:paraId="44DDEC25" w14:textId="77777777" w:rsidR="007F2465" w:rsidRPr="00991A6F" w:rsidRDefault="007F2465" w:rsidP="00886897">
            <w:pPr>
              <w:spacing w:line="360" w:lineRule="auto"/>
              <w:jc w:val="center"/>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0.06</w:t>
            </w:r>
          </w:p>
        </w:tc>
        <w:tc>
          <w:tcPr>
            <w:tcW w:w="3660" w:type="dxa"/>
            <w:shd w:val="clear" w:color="auto" w:fill="auto"/>
          </w:tcPr>
          <w:p w14:paraId="10B91F7C" w14:textId="77777777" w:rsidR="007F2465" w:rsidRPr="00991A6F" w:rsidRDefault="007F2465"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Education (years)</w:t>
            </w:r>
          </w:p>
        </w:tc>
        <w:tc>
          <w:tcPr>
            <w:tcW w:w="735" w:type="dxa"/>
            <w:shd w:val="clear" w:color="auto" w:fill="auto"/>
          </w:tcPr>
          <w:p w14:paraId="28F99BEF" w14:textId="77777777" w:rsidR="007F2465" w:rsidRPr="00991A6F" w:rsidRDefault="007F2465" w:rsidP="00886897">
            <w:pPr>
              <w:spacing w:line="360" w:lineRule="auto"/>
              <w:jc w:val="center"/>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0.02</w:t>
            </w:r>
          </w:p>
        </w:tc>
      </w:tr>
      <w:tr w:rsidR="007F2465" w:rsidRPr="00991A6F" w14:paraId="7CECEA27" w14:textId="77777777" w:rsidTr="00886897">
        <w:tc>
          <w:tcPr>
            <w:tcW w:w="3180" w:type="dxa"/>
            <w:shd w:val="clear" w:color="auto" w:fill="auto"/>
          </w:tcPr>
          <w:p w14:paraId="4AFB9D24" w14:textId="77777777" w:rsidR="007F2465" w:rsidRPr="00991A6F" w:rsidRDefault="007F2465" w:rsidP="00886897">
            <w:pPr>
              <w:spacing w:line="360" w:lineRule="auto"/>
              <w:rPr>
                <w:rFonts w:ascii="Times New Roman" w:eastAsia="Times New Roman" w:hAnsi="Times New Roman"/>
                <w:b/>
                <w:bCs/>
                <w:color w:val="1C1D1E"/>
                <w:sz w:val="22"/>
                <w:szCs w:val="22"/>
              </w:rPr>
            </w:pPr>
            <w:r w:rsidRPr="00991A6F">
              <w:rPr>
                <w:rFonts w:ascii="Times New Roman" w:eastAsia="Times New Roman" w:hAnsi="Times New Roman"/>
                <w:bCs/>
                <w:color w:val="1C1D1E"/>
                <w:sz w:val="22"/>
                <w:szCs w:val="22"/>
              </w:rPr>
              <w:t>Occupational status</w:t>
            </w:r>
          </w:p>
        </w:tc>
        <w:tc>
          <w:tcPr>
            <w:tcW w:w="1005" w:type="dxa"/>
            <w:shd w:val="clear" w:color="auto" w:fill="auto"/>
          </w:tcPr>
          <w:p w14:paraId="31C841A0" w14:textId="77777777" w:rsidR="007F2465" w:rsidRPr="00991A6F" w:rsidRDefault="007F2465" w:rsidP="00886897">
            <w:pPr>
              <w:spacing w:line="360" w:lineRule="auto"/>
              <w:jc w:val="center"/>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0.03</w:t>
            </w:r>
          </w:p>
        </w:tc>
        <w:tc>
          <w:tcPr>
            <w:tcW w:w="3660" w:type="dxa"/>
            <w:shd w:val="clear" w:color="auto" w:fill="auto"/>
          </w:tcPr>
          <w:p w14:paraId="6A8A5EE7" w14:textId="77777777" w:rsidR="007F2465" w:rsidRPr="00991A6F" w:rsidRDefault="007F2465"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Social activities</w:t>
            </w:r>
          </w:p>
        </w:tc>
        <w:tc>
          <w:tcPr>
            <w:tcW w:w="735" w:type="dxa"/>
            <w:shd w:val="clear" w:color="auto" w:fill="auto"/>
          </w:tcPr>
          <w:p w14:paraId="5967C492" w14:textId="77777777" w:rsidR="007F2465" w:rsidRPr="00991A6F" w:rsidRDefault="007F2465" w:rsidP="00886897">
            <w:pPr>
              <w:spacing w:line="360" w:lineRule="auto"/>
              <w:jc w:val="center"/>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0.01</w:t>
            </w:r>
          </w:p>
        </w:tc>
      </w:tr>
      <w:tr w:rsidR="007F2465" w:rsidRPr="00991A6F" w14:paraId="34323068" w14:textId="77777777" w:rsidTr="00886897">
        <w:tc>
          <w:tcPr>
            <w:tcW w:w="3180" w:type="dxa"/>
            <w:shd w:val="clear" w:color="auto" w:fill="auto"/>
          </w:tcPr>
          <w:p w14:paraId="27DFE78F" w14:textId="77777777" w:rsidR="007F2465" w:rsidRPr="00991A6F" w:rsidRDefault="007F2465" w:rsidP="00886897">
            <w:pPr>
              <w:spacing w:line="360" w:lineRule="auto"/>
              <w:rPr>
                <w:rFonts w:ascii="Times New Roman" w:eastAsia="Times New Roman" w:hAnsi="Times New Roman"/>
                <w:b/>
                <w:bCs/>
                <w:color w:val="1C1D1E"/>
                <w:sz w:val="22"/>
                <w:szCs w:val="22"/>
              </w:rPr>
            </w:pPr>
            <w:r w:rsidRPr="00991A6F">
              <w:rPr>
                <w:rFonts w:ascii="Times New Roman" w:eastAsia="Times New Roman" w:hAnsi="Times New Roman"/>
                <w:bCs/>
                <w:color w:val="1C1D1E"/>
                <w:sz w:val="22"/>
                <w:szCs w:val="22"/>
              </w:rPr>
              <w:t>Social activities</w:t>
            </w:r>
          </w:p>
        </w:tc>
        <w:tc>
          <w:tcPr>
            <w:tcW w:w="1005" w:type="dxa"/>
            <w:shd w:val="clear" w:color="auto" w:fill="auto"/>
          </w:tcPr>
          <w:p w14:paraId="53C3297F" w14:textId="77777777" w:rsidR="007F2465" w:rsidRPr="00991A6F" w:rsidRDefault="007F2465" w:rsidP="00886897">
            <w:pPr>
              <w:spacing w:line="360" w:lineRule="auto"/>
              <w:jc w:val="center"/>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0.03</w:t>
            </w:r>
          </w:p>
        </w:tc>
        <w:tc>
          <w:tcPr>
            <w:tcW w:w="3660" w:type="dxa"/>
            <w:shd w:val="clear" w:color="auto" w:fill="auto"/>
          </w:tcPr>
          <w:p w14:paraId="011BD118" w14:textId="77777777" w:rsidR="007F2465" w:rsidRPr="00991A6F" w:rsidRDefault="007F2465"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Occupational attainment</w:t>
            </w:r>
          </w:p>
        </w:tc>
        <w:tc>
          <w:tcPr>
            <w:tcW w:w="735" w:type="dxa"/>
            <w:shd w:val="clear" w:color="auto" w:fill="auto"/>
          </w:tcPr>
          <w:p w14:paraId="23314509" w14:textId="77777777" w:rsidR="007F2465" w:rsidRPr="00991A6F" w:rsidRDefault="007F2465" w:rsidP="00886897">
            <w:pPr>
              <w:spacing w:line="360" w:lineRule="auto"/>
              <w:jc w:val="center"/>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0.01</w:t>
            </w:r>
          </w:p>
        </w:tc>
      </w:tr>
      <w:tr w:rsidR="007F2465" w:rsidRPr="00991A6F" w14:paraId="195410A4" w14:textId="77777777" w:rsidTr="00886897">
        <w:tc>
          <w:tcPr>
            <w:tcW w:w="3180" w:type="dxa"/>
            <w:shd w:val="clear" w:color="auto" w:fill="auto"/>
          </w:tcPr>
          <w:p w14:paraId="0477C55D" w14:textId="77777777" w:rsidR="007F2465" w:rsidRPr="00991A6F" w:rsidRDefault="007F2465" w:rsidP="00886897">
            <w:pPr>
              <w:spacing w:line="360" w:lineRule="auto"/>
              <w:rPr>
                <w:rFonts w:ascii="Times New Roman" w:eastAsia="Times New Roman" w:hAnsi="Times New Roman"/>
                <w:b/>
                <w:bCs/>
                <w:color w:val="1C1D1E"/>
                <w:sz w:val="22"/>
                <w:szCs w:val="22"/>
              </w:rPr>
            </w:pPr>
            <w:r w:rsidRPr="00991A6F">
              <w:rPr>
                <w:rFonts w:ascii="Times New Roman" w:eastAsia="Times New Roman" w:hAnsi="Times New Roman"/>
                <w:bCs/>
                <w:color w:val="1C1D1E"/>
                <w:sz w:val="22"/>
                <w:szCs w:val="22"/>
              </w:rPr>
              <w:t>Comorbidity</w:t>
            </w:r>
          </w:p>
        </w:tc>
        <w:tc>
          <w:tcPr>
            <w:tcW w:w="1005" w:type="dxa"/>
            <w:shd w:val="clear" w:color="auto" w:fill="auto"/>
          </w:tcPr>
          <w:p w14:paraId="01DB25C4" w14:textId="77777777" w:rsidR="007F2465" w:rsidRPr="00991A6F" w:rsidRDefault="007F2465" w:rsidP="00886897">
            <w:pPr>
              <w:spacing w:line="360" w:lineRule="auto"/>
              <w:jc w:val="center"/>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0.02</w:t>
            </w:r>
          </w:p>
        </w:tc>
        <w:tc>
          <w:tcPr>
            <w:tcW w:w="3660" w:type="dxa"/>
            <w:shd w:val="clear" w:color="auto" w:fill="auto"/>
          </w:tcPr>
          <w:p w14:paraId="4F448909" w14:textId="77777777" w:rsidR="007F2465" w:rsidRPr="00991A6F" w:rsidRDefault="007F2465"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Comorbidity</w:t>
            </w:r>
          </w:p>
        </w:tc>
        <w:tc>
          <w:tcPr>
            <w:tcW w:w="735" w:type="dxa"/>
            <w:shd w:val="clear" w:color="auto" w:fill="auto"/>
          </w:tcPr>
          <w:p w14:paraId="134A02A4" w14:textId="77777777" w:rsidR="007F2465" w:rsidRPr="00991A6F" w:rsidRDefault="007F2465" w:rsidP="00886897">
            <w:pPr>
              <w:spacing w:line="360" w:lineRule="auto"/>
              <w:jc w:val="center"/>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0.01</w:t>
            </w:r>
          </w:p>
        </w:tc>
      </w:tr>
      <w:tr w:rsidR="007F2465" w:rsidRPr="00991A6F" w14:paraId="19819382" w14:textId="77777777" w:rsidTr="00886897">
        <w:tc>
          <w:tcPr>
            <w:tcW w:w="3180" w:type="dxa"/>
            <w:shd w:val="clear" w:color="auto" w:fill="auto"/>
          </w:tcPr>
          <w:p w14:paraId="490F2CDC" w14:textId="77777777" w:rsidR="007F2465" w:rsidRPr="00991A6F" w:rsidRDefault="007F2465" w:rsidP="00886897">
            <w:pPr>
              <w:spacing w:line="360" w:lineRule="auto"/>
              <w:rPr>
                <w:rFonts w:ascii="Times New Roman" w:eastAsia="Times New Roman" w:hAnsi="Times New Roman"/>
                <w:b/>
                <w:bCs/>
                <w:color w:val="1C1D1E"/>
                <w:sz w:val="22"/>
                <w:szCs w:val="22"/>
              </w:rPr>
            </w:pPr>
            <w:r w:rsidRPr="00991A6F">
              <w:rPr>
                <w:rFonts w:ascii="Times New Roman" w:eastAsia="Times New Roman" w:hAnsi="Times New Roman"/>
                <w:bCs/>
                <w:color w:val="1C1D1E"/>
                <w:sz w:val="22"/>
                <w:szCs w:val="22"/>
              </w:rPr>
              <w:t>Occupational attainment</w:t>
            </w:r>
          </w:p>
        </w:tc>
        <w:tc>
          <w:tcPr>
            <w:tcW w:w="1005" w:type="dxa"/>
            <w:shd w:val="clear" w:color="auto" w:fill="auto"/>
          </w:tcPr>
          <w:p w14:paraId="6638C01F" w14:textId="77777777" w:rsidR="007F2465" w:rsidRPr="00991A6F" w:rsidRDefault="007F2465" w:rsidP="00886897">
            <w:pPr>
              <w:spacing w:line="360" w:lineRule="auto"/>
              <w:jc w:val="center"/>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0.02</w:t>
            </w:r>
          </w:p>
        </w:tc>
        <w:tc>
          <w:tcPr>
            <w:tcW w:w="3660" w:type="dxa"/>
            <w:shd w:val="clear" w:color="auto" w:fill="auto"/>
          </w:tcPr>
          <w:p w14:paraId="2A2F5B0D" w14:textId="77777777" w:rsidR="007F2465" w:rsidRPr="00991A6F" w:rsidRDefault="007F2465"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History of memory disorders</w:t>
            </w:r>
          </w:p>
        </w:tc>
        <w:tc>
          <w:tcPr>
            <w:tcW w:w="735" w:type="dxa"/>
            <w:shd w:val="clear" w:color="auto" w:fill="auto"/>
          </w:tcPr>
          <w:p w14:paraId="75C4C9E0" w14:textId="77777777" w:rsidR="007F2465" w:rsidRPr="00991A6F" w:rsidRDefault="007F2465" w:rsidP="00886897">
            <w:pPr>
              <w:spacing w:line="360" w:lineRule="auto"/>
              <w:jc w:val="center"/>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0.00</w:t>
            </w:r>
          </w:p>
        </w:tc>
      </w:tr>
      <w:tr w:rsidR="007F2465" w:rsidRPr="00991A6F" w14:paraId="06620399" w14:textId="77777777" w:rsidTr="00886897">
        <w:tc>
          <w:tcPr>
            <w:tcW w:w="3180" w:type="dxa"/>
            <w:shd w:val="clear" w:color="auto" w:fill="auto"/>
          </w:tcPr>
          <w:p w14:paraId="1B04A2E4" w14:textId="77777777" w:rsidR="007F2465" w:rsidRPr="00991A6F" w:rsidRDefault="007F2465" w:rsidP="00886897">
            <w:pPr>
              <w:spacing w:line="360" w:lineRule="auto"/>
              <w:rPr>
                <w:rFonts w:ascii="Times New Roman" w:eastAsia="Times New Roman" w:hAnsi="Times New Roman"/>
                <w:b/>
                <w:bCs/>
                <w:color w:val="1C1D1E"/>
                <w:sz w:val="22"/>
                <w:szCs w:val="22"/>
              </w:rPr>
            </w:pPr>
            <w:r w:rsidRPr="00991A6F">
              <w:rPr>
                <w:rFonts w:ascii="Times New Roman" w:eastAsia="Times New Roman" w:hAnsi="Times New Roman"/>
                <w:bCs/>
                <w:color w:val="1C1D1E"/>
                <w:sz w:val="22"/>
                <w:szCs w:val="22"/>
              </w:rPr>
              <w:t>Cultural activities</w:t>
            </w:r>
          </w:p>
        </w:tc>
        <w:tc>
          <w:tcPr>
            <w:tcW w:w="1005" w:type="dxa"/>
            <w:shd w:val="clear" w:color="auto" w:fill="auto"/>
          </w:tcPr>
          <w:p w14:paraId="1BE9D54E" w14:textId="77777777" w:rsidR="007F2465" w:rsidRPr="00991A6F" w:rsidRDefault="007F2465" w:rsidP="00886897">
            <w:pPr>
              <w:spacing w:line="360" w:lineRule="auto"/>
              <w:jc w:val="center"/>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0.02</w:t>
            </w:r>
          </w:p>
        </w:tc>
        <w:tc>
          <w:tcPr>
            <w:tcW w:w="3660" w:type="dxa"/>
            <w:shd w:val="clear" w:color="auto" w:fill="auto"/>
          </w:tcPr>
          <w:p w14:paraId="74A8C7F5" w14:textId="77777777" w:rsidR="007F2465" w:rsidRPr="00991A6F" w:rsidRDefault="007F2465"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Cultural activities</w:t>
            </w:r>
          </w:p>
        </w:tc>
        <w:tc>
          <w:tcPr>
            <w:tcW w:w="735" w:type="dxa"/>
            <w:shd w:val="clear" w:color="auto" w:fill="auto"/>
          </w:tcPr>
          <w:p w14:paraId="0A0BEBCE" w14:textId="77777777" w:rsidR="007F2465" w:rsidRPr="00991A6F" w:rsidRDefault="007F2465" w:rsidP="00886897">
            <w:pPr>
              <w:spacing w:line="360" w:lineRule="auto"/>
              <w:jc w:val="center"/>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0.00</w:t>
            </w:r>
          </w:p>
        </w:tc>
      </w:tr>
      <w:tr w:rsidR="007F2465" w:rsidRPr="00991A6F" w14:paraId="775D4B20" w14:textId="77777777" w:rsidTr="00886897">
        <w:tc>
          <w:tcPr>
            <w:tcW w:w="3180" w:type="dxa"/>
            <w:shd w:val="clear" w:color="auto" w:fill="auto"/>
          </w:tcPr>
          <w:p w14:paraId="7930BC2D" w14:textId="77777777" w:rsidR="007F2465" w:rsidRPr="00991A6F" w:rsidRDefault="007F2465" w:rsidP="00886897">
            <w:pPr>
              <w:spacing w:line="360" w:lineRule="auto"/>
              <w:rPr>
                <w:rFonts w:ascii="Times New Roman" w:eastAsia="Times New Roman" w:hAnsi="Times New Roman"/>
                <w:b/>
                <w:bCs/>
                <w:color w:val="1C1D1E"/>
                <w:sz w:val="22"/>
                <w:szCs w:val="22"/>
              </w:rPr>
            </w:pPr>
            <w:r w:rsidRPr="00991A6F">
              <w:rPr>
                <w:rFonts w:ascii="Times New Roman" w:eastAsia="Times New Roman" w:hAnsi="Times New Roman"/>
                <w:bCs/>
                <w:color w:val="1C1D1E"/>
                <w:sz w:val="22"/>
                <w:szCs w:val="22"/>
              </w:rPr>
              <w:t>Reading habits</w:t>
            </w:r>
          </w:p>
        </w:tc>
        <w:tc>
          <w:tcPr>
            <w:tcW w:w="1005" w:type="dxa"/>
            <w:shd w:val="clear" w:color="auto" w:fill="auto"/>
          </w:tcPr>
          <w:p w14:paraId="5DB00202" w14:textId="77777777" w:rsidR="007F2465" w:rsidRPr="00991A6F" w:rsidRDefault="007F2465" w:rsidP="00886897">
            <w:pPr>
              <w:spacing w:line="360" w:lineRule="auto"/>
              <w:jc w:val="center"/>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0.02</w:t>
            </w:r>
          </w:p>
        </w:tc>
        <w:tc>
          <w:tcPr>
            <w:tcW w:w="3660" w:type="dxa"/>
            <w:shd w:val="clear" w:color="auto" w:fill="auto"/>
          </w:tcPr>
          <w:p w14:paraId="4449E3B6" w14:textId="77777777" w:rsidR="007F2465" w:rsidRPr="00991A6F" w:rsidRDefault="007F2465"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Gender</w:t>
            </w:r>
          </w:p>
        </w:tc>
        <w:tc>
          <w:tcPr>
            <w:tcW w:w="735" w:type="dxa"/>
            <w:shd w:val="clear" w:color="auto" w:fill="auto"/>
          </w:tcPr>
          <w:p w14:paraId="61B1A6EA" w14:textId="77777777" w:rsidR="007F2465" w:rsidRPr="00991A6F" w:rsidRDefault="007F2465" w:rsidP="00886897">
            <w:pPr>
              <w:spacing w:line="360" w:lineRule="auto"/>
              <w:jc w:val="center"/>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0.00</w:t>
            </w:r>
          </w:p>
        </w:tc>
      </w:tr>
      <w:tr w:rsidR="007F2465" w:rsidRPr="00991A6F" w14:paraId="18F7577B" w14:textId="77777777" w:rsidTr="00886897">
        <w:tc>
          <w:tcPr>
            <w:tcW w:w="3180" w:type="dxa"/>
            <w:shd w:val="clear" w:color="auto" w:fill="auto"/>
          </w:tcPr>
          <w:p w14:paraId="51180EF3" w14:textId="77777777" w:rsidR="007F2465" w:rsidRPr="00991A6F" w:rsidRDefault="007F2465" w:rsidP="00886897">
            <w:pPr>
              <w:spacing w:line="360" w:lineRule="auto"/>
              <w:rPr>
                <w:rFonts w:ascii="Times New Roman" w:eastAsia="Times New Roman" w:hAnsi="Times New Roman"/>
                <w:b/>
                <w:bCs/>
                <w:color w:val="1C1D1E"/>
                <w:sz w:val="22"/>
                <w:szCs w:val="22"/>
              </w:rPr>
            </w:pPr>
            <w:r w:rsidRPr="00991A6F">
              <w:rPr>
                <w:rFonts w:ascii="Times New Roman" w:eastAsia="Times New Roman" w:hAnsi="Times New Roman"/>
                <w:bCs/>
                <w:color w:val="1C1D1E"/>
                <w:sz w:val="22"/>
                <w:szCs w:val="22"/>
              </w:rPr>
              <w:t>History of memory disorders</w:t>
            </w:r>
          </w:p>
        </w:tc>
        <w:tc>
          <w:tcPr>
            <w:tcW w:w="1005" w:type="dxa"/>
            <w:shd w:val="clear" w:color="auto" w:fill="auto"/>
          </w:tcPr>
          <w:p w14:paraId="230251BA" w14:textId="77777777" w:rsidR="007F2465" w:rsidRPr="00991A6F" w:rsidRDefault="007F2465" w:rsidP="00886897">
            <w:pPr>
              <w:spacing w:line="360" w:lineRule="auto"/>
              <w:jc w:val="center"/>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0.01</w:t>
            </w:r>
          </w:p>
        </w:tc>
        <w:tc>
          <w:tcPr>
            <w:tcW w:w="3660" w:type="dxa"/>
            <w:shd w:val="clear" w:color="auto" w:fill="auto"/>
          </w:tcPr>
          <w:p w14:paraId="2B06110E" w14:textId="77777777" w:rsidR="007F2465" w:rsidRPr="00991A6F" w:rsidRDefault="007F2465"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Reading habits</w:t>
            </w:r>
          </w:p>
        </w:tc>
        <w:tc>
          <w:tcPr>
            <w:tcW w:w="735" w:type="dxa"/>
            <w:shd w:val="clear" w:color="auto" w:fill="auto"/>
          </w:tcPr>
          <w:p w14:paraId="22C920AD" w14:textId="77777777" w:rsidR="007F2465" w:rsidRPr="00991A6F" w:rsidRDefault="007F2465" w:rsidP="00886897">
            <w:pPr>
              <w:spacing w:line="360" w:lineRule="auto"/>
              <w:jc w:val="center"/>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0.00</w:t>
            </w:r>
          </w:p>
        </w:tc>
      </w:tr>
      <w:tr w:rsidR="007F2465" w:rsidRPr="00991A6F" w14:paraId="3C5837EF" w14:textId="77777777" w:rsidTr="00886897">
        <w:tc>
          <w:tcPr>
            <w:tcW w:w="3180" w:type="dxa"/>
            <w:shd w:val="clear" w:color="auto" w:fill="auto"/>
          </w:tcPr>
          <w:p w14:paraId="63E3B9DC" w14:textId="77777777" w:rsidR="007F2465" w:rsidRPr="00991A6F" w:rsidRDefault="007F2465" w:rsidP="00886897">
            <w:pPr>
              <w:spacing w:line="360" w:lineRule="auto"/>
              <w:rPr>
                <w:rFonts w:ascii="Times New Roman" w:eastAsia="Times New Roman" w:hAnsi="Times New Roman"/>
                <w:b/>
                <w:bCs/>
                <w:color w:val="1C1D1E"/>
                <w:sz w:val="22"/>
                <w:szCs w:val="22"/>
              </w:rPr>
            </w:pPr>
            <w:r w:rsidRPr="00991A6F">
              <w:rPr>
                <w:rFonts w:ascii="Times New Roman" w:eastAsia="Times New Roman" w:hAnsi="Times New Roman"/>
                <w:bCs/>
                <w:color w:val="1C1D1E"/>
                <w:sz w:val="22"/>
                <w:szCs w:val="22"/>
              </w:rPr>
              <w:t>Gender</w:t>
            </w:r>
          </w:p>
        </w:tc>
        <w:tc>
          <w:tcPr>
            <w:tcW w:w="1005" w:type="dxa"/>
            <w:shd w:val="clear" w:color="auto" w:fill="auto"/>
          </w:tcPr>
          <w:p w14:paraId="325E2542" w14:textId="77777777" w:rsidR="007F2465" w:rsidRPr="00991A6F" w:rsidRDefault="007F2465" w:rsidP="00886897">
            <w:pPr>
              <w:spacing w:line="360" w:lineRule="auto"/>
              <w:jc w:val="center"/>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0.01</w:t>
            </w:r>
          </w:p>
        </w:tc>
        <w:tc>
          <w:tcPr>
            <w:tcW w:w="3660" w:type="dxa"/>
            <w:shd w:val="clear" w:color="auto" w:fill="auto"/>
          </w:tcPr>
          <w:p w14:paraId="60C823E0" w14:textId="77777777" w:rsidR="007F2465" w:rsidRPr="00991A6F" w:rsidRDefault="007F2465" w:rsidP="00886897">
            <w:pPr>
              <w:spacing w:line="360" w:lineRule="auto"/>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Occupational status</w:t>
            </w:r>
          </w:p>
        </w:tc>
        <w:tc>
          <w:tcPr>
            <w:tcW w:w="735" w:type="dxa"/>
            <w:shd w:val="clear" w:color="auto" w:fill="auto"/>
          </w:tcPr>
          <w:p w14:paraId="79152C7A" w14:textId="77777777" w:rsidR="007F2465" w:rsidRPr="00991A6F" w:rsidRDefault="007F2465" w:rsidP="00886897">
            <w:pPr>
              <w:spacing w:line="360" w:lineRule="auto"/>
              <w:jc w:val="center"/>
              <w:rPr>
                <w:rFonts w:ascii="Times New Roman" w:eastAsia="Times New Roman" w:hAnsi="Times New Roman"/>
                <w:color w:val="1C1D1E"/>
                <w:sz w:val="22"/>
                <w:szCs w:val="22"/>
              </w:rPr>
            </w:pPr>
            <w:r w:rsidRPr="00991A6F">
              <w:rPr>
                <w:rFonts w:ascii="Times New Roman" w:eastAsia="Times New Roman" w:hAnsi="Times New Roman"/>
                <w:color w:val="1C1D1E"/>
                <w:sz w:val="22"/>
                <w:szCs w:val="22"/>
              </w:rPr>
              <w:t>0.00</w:t>
            </w:r>
          </w:p>
        </w:tc>
      </w:tr>
    </w:tbl>
    <w:p w14:paraId="1F66B028" w14:textId="77777777" w:rsidR="007F2465" w:rsidRPr="000B70C6" w:rsidRDefault="007F2465" w:rsidP="007F2465">
      <w:pPr>
        <w:rPr>
          <w:rFonts w:ascii="Times New Roman" w:eastAsia="Times New Roman" w:hAnsi="Times New Roman"/>
          <w:b/>
          <w:bCs/>
          <w:color w:val="1C1D1E"/>
        </w:rPr>
      </w:pPr>
      <w:r w:rsidRPr="000B70C6">
        <w:rPr>
          <w:rFonts w:ascii="Times New Roman" w:eastAsia="Times New Roman" w:hAnsi="Times New Roman"/>
          <w:i/>
          <w:iCs/>
        </w:rPr>
        <w:t>Note</w:t>
      </w:r>
      <w:r w:rsidRPr="000B70C6">
        <w:rPr>
          <w:rFonts w:ascii="Times New Roman" w:eastAsia="Times New Roman" w:hAnsi="Times New Roman"/>
        </w:rPr>
        <w:t>: ranking of features, sorted by highest to lowest weight.</w:t>
      </w:r>
    </w:p>
    <w:p w14:paraId="4180AA53" w14:textId="77777777" w:rsidR="007F2465" w:rsidRDefault="007F2465" w:rsidP="008F5C12"/>
    <w:p w14:paraId="00130A0C" w14:textId="77777777" w:rsidR="008B0B8C" w:rsidRPr="00245F51" w:rsidRDefault="00245F51" w:rsidP="008F5C12">
      <w:pPr>
        <w:rPr>
          <w:rFonts w:ascii="Times New Roman" w:eastAsia="Times New Roman" w:hAnsi="Times New Roman"/>
          <w:color w:val="1C1D1E"/>
          <w:sz w:val="22"/>
          <w:szCs w:val="22"/>
          <w:shd w:val="clear" w:color="auto" w:fill="FFFFFF"/>
        </w:rPr>
      </w:pPr>
      <w:r>
        <w:br w:type="page"/>
      </w:r>
      <w:r w:rsidRPr="00245F51">
        <w:rPr>
          <w:rFonts w:ascii="Times New Roman" w:eastAsia="Times New Roman" w:hAnsi="Times New Roman"/>
          <w:color w:val="1C1D1E"/>
          <w:sz w:val="22"/>
          <w:szCs w:val="22"/>
          <w:shd w:val="clear" w:color="auto" w:fill="FFFFFF"/>
        </w:rPr>
        <w:t>Figure captions:</w:t>
      </w:r>
    </w:p>
    <w:p w14:paraId="7575244E" w14:textId="77777777" w:rsidR="00245F51" w:rsidRPr="00245F51" w:rsidRDefault="00245F51" w:rsidP="008F5C12">
      <w:pPr>
        <w:rPr>
          <w:rFonts w:ascii="Times New Roman" w:eastAsia="Times New Roman" w:hAnsi="Times New Roman"/>
          <w:color w:val="1C1D1E"/>
          <w:sz w:val="22"/>
          <w:szCs w:val="22"/>
          <w:shd w:val="clear" w:color="auto" w:fill="FFFFFF"/>
        </w:rPr>
      </w:pPr>
    </w:p>
    <w:p w14:paraId="29FEBC26" w14:textId="77777777" w:rsidR="00245F51" w:rsidRPr="00245F51" w:rsidRDefault="00245F51" w:rsidP="00245F51">
      <w:pPr>
        <w:rPr>
          <w:rFonts w:ascii="Times New Roman" w:eastAsia="Times New Roman" w:hAnsi="Times New Roman"/>
          <w:color w:val="1C1D1E"/>
          <w:sz w:val="22"/>
          <w:szCs w:val="22"/>
          <w:shd w:val="clear" w:color="auto" w:fill="FFFFFF"/>
        </w:rPr>
      </w:pPr>
      <w:r>
        <w:rPr>
          <w:rFonts w:ascii="Times New Roman" w:eastAsia="Times New Roman" w:hAnsi="Times New Roman"/>
          <w:color w:val="1C1D1E"/>
          <w:sz w:val="22"/>
          <w:szCs w:val="22"/>
          <w:shd w:val="clear" w:color="auto" w:fill="FFFFFF"/>
        </w:rPr>
        <w:t>Figure</w:t>
      </w:r>
      <w:r w:rsidRPr="00245F51">
        <w:rPr>
          <w:rFonts w:ascii="Times New Roman" w:eastAsia="Times New Roman" w:hAnsi="Times New Roman"/>
          <w:color w:val="1C1D1E"/>
          <w:sz w:val="22"/>
          <w:szCs w:val="22"/>
          <w:shd w:val="clear" w:color="auto" w:fill="FFFFFF"/>
        </w:rPr>
        <w:t xml:space="preserve"> 1. Comparison of Precision-Recall curve metrics for evaluating classifier output for the   Gradient Boosting and Random Forest algorithms</w:t>
      </w:r>
    </w:p>
    <w:p w14:paraId="2C84D001" w14:textId="77777777" w:rsidR="00245F51" w:rsidRPr="00245F51" w:rsidRDefault="00245F51" w:rsidP="00245F51">
      <w:pPr>
        <w:rPr>
          <w:rFonts w:ascii="Times New Roman" w:eastAsia="Times New Roman" w:hAnsi="Times New Roman"/>
          <w:color w:val="1C1D1E"/>
          <w:sz w:val="22"/>
          <w:szCs w:val="22"/>
          <w:shd w:val="clear" w:color="auto" w:fill="FFFFFF"/>
        </w:rPr>
      </w:pPr>
      <w:r w:rsidRPr="00245F51">
        <w:rPr>
          <w:rFonts w:ascii="Times New Roman" w:eastAsia="Times New Roman" w:hAnsi="Times New Roman"/>
          <w:color w:val="1C1D1E"/>
          <w:sz w:val="22"/>
          <w:szCs w:val="22"/>
          <w:shd w:val="clear" w:color="auto" w:fill="FFFFFF"/>
        </w:rPr>
        <w:t xml:space="preserve"> </w:t>
      </w:r>
    </w:p>
    <w:p w14:paraId="7E2C73CD" w14:textId="77777777" w:rsidR="00245F51" w:rsidRPr="00245F51" w:rsidRDefault="00245F51" w:rsidP="00245F51">
      <w:pPr>
        <w:rPr>
          <w:rFonts w:ascii="Times New Roman" w:eastAsia="Times New Roman" w:hAnsi="Times New Roman"/>
          <w:color w:val="1C1D1E"/>
          <w:sz w:val="22"/>
          <w:szCs w:val="22"/>
          <w:shd w:val="clear" w:color="auto" w:fill="FFFFFF"/>
        </w:rPr>
      </w:pPr>
    </w:p>
    <w:p w14:paraId="36795347" w14:textId="429BA332" w:rsidR="007128B3" w:rsidRPr="002D19B0" w:rsidRDefault="00245F51" w:rsidP="007128B3">
      <w:pPr>
        <w:rPr>
          <w:rFonts w:ascii="Times New Roman" w:eastAsia="Times New Roman" w:hAnsi="Times New Roman"/>
          <w:color w:val="1C1D1E"/>
          <w:sz w:val="22"/>
          <w:szCs w:val="22"/>
          <w:shd w:val="clear" w:color="auto" w:fill="FFFFFF"/>
        </w:rPr>
      </w:pPr>
      <w:r>
        <w:rPr>
          <w:rFonts w:ascii="Times New Roman" w:eastAsia="Times New Roman" w:hAnsi="Times New Roman"/>
          <w:color w:val="1C1D1E"/>
          <w:sz w:val="22"/>
          <w:szCs w:val="22"/>
          <w:shd w:val="clear" w:color="auto" w:fill="FFFFFF"/>
        </w:rPr>
        <w:t>Figure</w:t>
      </w:r>
      <w:r w:rsidRPr="00245F51">
        <w:rPr>
          <w:rFonts w:ascii="Times New Roman" w:eastAsia="Times New Roman" w:hAnsi="Times New Roman"/>
          <w:color w:val="1C1D1E"/>
          <w:sz w:val="22"/>
          <w:szCs w:val="22"/>
          <w:shd w:val="clear" w:color="auto" w:fill="FFFFFF"/>
        </w:rPr>
        <w:t xml:space="preserve"> 2. Comparison of ROC curve for evaluating the classification performance of the best two algorithms</w:t>
      </w:r>
      <w:r w:rsidR="007128B3">
        <w:rPr>
          <w:rFonts w:ascii="Times New Roman" w:eastAsia="Times New Roman" w:hAnsi="Times New Roman"/>
          <w:color w:val="1C1D1E"/>
          <w:sz w:val="22"/>
          <w:szCs w:val="22"/>
          <w:shd w:val="clear" w:color="auto" w:fill="FFFFFF"/>
        </w:rPr>
        <w:t xml:space="preserve">, </w:t>
      </w:r>
      <w:r w:rsidR="007128B3" w:rsidRPr="002D19B0">
        <w:rPr>
          <w:rFonts w:ascii="Times New Roman" w:eastAsia="Times New Roman" w:hAnsi="Times New Roman"/>
          <w:color w:val="1C1D1E"/>
          <w:sz w:val="22"/>
          <w:szCs w:val="22"/>
          <w:shd w:val="clear" w:color="auto" w:fill="FFFFFF"/>
        </w:rPr>
        <w:t>using cv-fold cross-validation</w:t>
      </w:r>
      <w:r w:rsidR="004E44B1">
        <w:rPr>
          <w:rFonts w:ascii="Times New Roman" w:eastAsia="Times New Roman" w:hAnsi="Times New Roman"/>
          <w:color w:val="1C1D1E"/>
          <w:sz w:val="22"/>
          <w:szCs w:val="22"/>
          <w:shd w:val="clear" w:color="auto" w:fill="FFFFFF"/>
        </w:rPr>
        <w:t xml:space="preserve"> </w:t>
      </w:r>
      <w:r w:rsidR="007128B3" w:rsidRPr="002D19B0">
        <w:rPr>
          <w:rFonts w:ascii="Times New Roman" w:eastAsia="Times New Roman" w:hAnsi="Times New Roman"/>
          <w:color w:val="1C1D1E"/>
          <w:sz w:val="22"/>
          <w:szCs w:val="22"/>
          <w:shd w:val="clear" w:color="auto" w:fill="FFFFFF"/>
        </w:rPr>
        <w:t xml:space="preserve">(cv=10) and a binary classification (i.e. converters and non-converters). </w:t>
      </w:r>
    </w:p>
    <w:p w14:paraId="08BD3443" w14:textId="6F90392A" w:rsidR="007128B3" w:rsidRPr="002D19B0" w:rsidRDefault="007128B3" w:rsidP="007128B3">
      <w:pPr>
        <w:rPr>
          <w:rFonts w:ascii="Times" w:eastAsia="Times New Roman" w:hAnsi="Times"/>
          <w:sz w:val="20"/>
          <w:szCs w:val="20"/>
        </w:rPr>
      </w:pPr>
      <w:r w:rsidRPr="002D19B0">
        <w:rPr>
          <w:rFonts w:ascii="Times New Roman" w:eastAsia="Times New Roman" w:hAnsi="Times New Roman"/>
          <w:color w:val="1C1D1E"/>
          <w:sz w:val="22"/>
          <w:szCs w:val="22"/>
          <w:shd w:val="clear" w:color="auto" w:fill="FFFFFF"/>
        </w:rPr>
        <w:t>Note: ROC = Receiver Operating Characteristic; AUC = Area Under the Curve; cv = cross-validation.</w:t>
      </w:r>
    </w:p>
    <w:p w14:paraId="0698CFA4" w14:textId="77777777" w:rsidR="00245F51" w:rsidRPr="00245F51" w:rsidRDefault="00245F51" w:rsidP="00245F51">
      <w:pPr>
        <w:rPr>
          <w:rFonts w:ascii="Times New Roman" w:eastAsia="Times New Roman" w:hAnsi="Times New Roman"/>
          <w:color w:val="1C1D1E"/>
          <w:sz w:val="22"/>
          <w:szCs w:val="22"/>
          <w:shd w:val="clear" w:color="auto" w:fill="FFFFFF"/>
        </w:rPr>
      </w:pPr>
    </w:p>
    <w:p w14:paraId="2F628632" w14:textId="77777777" w:rsidR="008B0B8C" w:rsidRPr="00245F51" w:rsidRDefault="008B0B8C" w:rsidP="008F5C12">
      <w:pPr>
        <w:rPr>
          <w:rFonts w:ascii="Times New Roman" w:eastAsia="Times New Roman" w:hAnsi="Times New Roman"/>
          <w:color w:val="1C1D1E"/>
          <w:sz w:val="22"/>
          <w:szCs w:val="22"/>
          <w:shd w:val="clear" w:color="auto" w:fill="FFFFFF"/>
        </w:rPr>
      </w:pPr>
    </w:p>
    <w:p w14:paraId="71C2E7CE" w14:textId="77777777" w:rsidR="008B0B8C" w:rsidRPr="00245F51" w:rsidRDefault="008B0B8C" w:rsidP="008F5C12">
      <w:pPr>
        <w:rPr>
          <w:rFonts w:ascii="Times New Roman" w:eastAsia="Times New Roman" w:hAnsi="Times New Roman"/>
          <w:color w:val="1C1D1E"/>
          <w:sz w:val="22"/>
          <w:szCs w:val="22"/>
          <w:shd w:val="clear" w:color="auto" w:fill="FFFFFF"/>
        </w:rPr>
      </w:pPr>
    </w:p>
    <w:sectPr w:rsidR="008B0B8C" w:rsidRPr="00245F51" w:rsidSect="00682CCF">
      <w:pgSz w:w="11900" w:h="16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211536B" w14:textId="77777777" w:rsidR="00A9613E" w:rsidRDefault="00A9613E" w:rsidP="00A556A8">
      <w:r>
        <w:separator/>
      </w:r>
    </w:p>
  </w:endnote>
  <w:endnote w:type="continuationSeparator" w:id="0">
    <w:p w14:paraId="56834C3C" w14:textId="77777777" w:rsidR="00A9613E" w:rsidRDefault="00A9613E" w:rsidP="00A556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
    <w:altName w:val="Ebrima"/>
    <w:panose1 w:val="020B0604020202020204"/>
    <w:charset w:val="00"/>
    <w:family w:val="roman"/>
    <w:pitch w:val="variable"/>
    <w:sig w:usb0="E0002EFF" w:usb1="C000785B"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Open Sans">
    <w:panose1 w:val="020B0606030504020204"/>
    <w:charset w:val="00"/>
    <w:family w:val="swiss"/>
    <w:pitch w:val="variable"/>
    <w:sig w:usb0="E00002EF" w:usb1="4000205B" w:usb2="00000028"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67224B2" w14:textId="77777777" w:rsidR="00A9613E" w:rsidRDefault="00A9613E" w:rsidP="00A556A8">
      <w:r>
        <w:separator/>
      </w:r>
    </w:p>
  </w:footnote>
  <w:footnote w:type="continuationSeparator" w:id="0">
    <w:p w14:paraId="4489CFF1" w14:textId="77777777" w:rsidR="00A9613E" w:rsidRDefault="00A9613E" w:rsidP="00A556A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31ECB6C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12700F63"/>
    <w:multiLevelType w:val="hybridMultilevel"/>
    <w:tmpl w:val="E5EAFBD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52439D6"/>
    <w:multiLevelType w:val="hybridMultilevel"/>
    <w:tmpl w:val="128251B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A2E0393"/>
    <w:multiLevelType w:val="multilevel"/>
    <w:tmpl w:val="988219DE"/>
    <w:lvl w:ilvl="0">
      <w:start w:val="1"/>
      <w:numFmt w:val="bullet"/>
      <w:pStyle w:val="Els-bulletlist"/>
      <w:lvlText w:val=""/>
      <w:lvlJc w:val="left"/>
      <w:pPr>
        <w:tabs>
          <w:tab w:val="num" w:pos="360"/>
        </w:tabs>
        <w:ind w:left="240" w:hanging="240"/>
      </w:pPr>
      <w:rPr>
        <w:rFonts w:ascii="Symbol" w:hAnsi="Symbol" w:hint="default"/>
      </w:rPr>
    </w:lvl>
    <w:lvl w:ilvl="1">
      <w:start w:val="1"/>
      <w:numFmt w:val="bullet"/>
      <w:lvlText w:val="○"/>
      <w:lvlJc w:val="left"/>
      <w:pPr>
        <w:tabs>
          <w:tab w:val="num" w:pos="600"/>
        </w:tabs>
        <w:ind w:left="480" w:hanging="240"/>
      </w:pPr>
      <w:rPr>
        <w:rFonts w:ascii="Times New Roman" w:hAnsi="Times New Roman" w:hint="default"/>
        <w:sz w:val="28"/>
      </w:rPr>
    </w:lvl>
    <w:lvl w:ilvl="2">
      <w:start w:val="1"/>
      <w:numFmt w:val="bullet"/>
      <w:lvlText w:val="–"/>
      <w:lvlJc w:val="left"/>
      <w:pPr>
        <w:tabs>
          <w:tab w:val="num" w:pos="840"/>
        </w:tabs>
        <w:ind w:left="720" w:hanging="240"/>
      </w:pPr>
      <w:rPr>
        <w:rFonts w:ascii="Times New Roman" w:hAnsi="Times New Roman" w:hint="default"/>
      </w:rPr>
    </w:lvl>
    <w:lvl w:ilvl="3">
      <w:start w:val="1"/>
      <w:numFmt w:val="none"/>
      <w:lvlText w:val="-"/>
      <w:lvlJc w:val="left"/>
      <w:pPr>
        <w:tabs>
          <w:tab w:val="num" w:pos="1080"/>
        </w:tabs>
        <w:ind w:left="960" w:hanging="240"/>
      </w:pPr>
      <w:rPr>
        <w:rFonts w:ascii="Times New Roman" w:hAnsi="Times New Roman" w:hint="default"/>
      </w:rPr>
    </w:lvl>
    <w:lvl w:ilvl="4">
      <w:start w:val="1"/>
      <w:numFmt w:val="none"/>
      <w:lvlText w:val="-"/>
      <w:lvlJc w:val="left"/>
      <w:pPr>
        <w:tabs>
          <w:tab w:val="num" w:pos="1320"/>
        </w:tabs>
        <w:ind w:left="1200" w:hanging="240"/>
      </w:pPr>
      <w:rPr>
        <w:rFonts w:ascii="Times New Roman" w:hAnsi="Times New Roman" w:hint="default"/>
      </w:rPr>
    </w:lvl>
    <w:lvl w:ilvl="5">
      <w:start w:val="1"/>
      <w:numFmt w:val="none"/>
      <w:lvlText w:val="-"/>
      <w:lvlJc w:val="left"/>
      <w:pPr>
        <w:tabs>
          <w:tab w:val="num" w:pos="1560"/>
        </w:tabs>
        <w:ind w:left="1440" w:hanging="240"/>
      </w:pPr>
      <w:rPr>
        <w:rFonts w:ascii="Times New Roman" w:hAnsi="Times New Roman" w:hint="default"/>
      </w:rPr>
    </w:lvl>
    <w:lvl w:ilvl="6">
      <w:start w:val="1"/>
      <w:numFmt w:val="none"/>
      <w:lvlText w:val="-"/>
      <w:lvlJc w:val="left"/>
      <w:pPr>
        <w:tabs>
          <w:tab w:val="num" w:pos="1800"/>
        </w:tabs>
        <w:ind w:left="1680" w:hanging="240"/>
      </w:pPr>
      <w:rPr>
        <w:rFonts w:ascii="Times New Roman" w:hAnsi="Times New Roman" w:hint="default"/>
      </w:rPr>
    </w:lvl>
    <w:lvl w:ilvl="7">
      <w:start w:val="1"/>
      <w:numFmt w:val="none"/>
      <w:lvlText w:val="-"/>
      <w:lvlJc w:val="left"/>
      <w:pPr>
        <w:tabs>
          <w:tab w:val="num" w:pos="2040"/>
        </w:tabs>
        <w:ind w:left="1920" w:hanging="240"/>
      </w:pPr>
      <w:rPr>
        <w:rFonts w:ascii="Times New Roman" w:hAnsi="Times New Roman" w:hint="default"/>
      </w:rPr>
    </w:lvl>
    <w:lvl w:ilvl="8">
      <w:start w:val="1"/>
      <w:numFmt w:val="none"/>
      <w:lvlText w:val="-"/>
      <w:lvlJc w:val="left"/>
      <w:pPr>
        <w:tabs>
          <w:tab w:val="num" w:pos="2280"/>
        </w:tabs>
        <w:ind w:left="2160" w:hanging="240"/>
      </w:pPr>
      <w:rPr>
        <w:rFonts w:ascii="Times New Roman" w:hAnsi="Times New Roman" w:hint="default"/>
      </w:rPr>
    </w:lvl>
  </w:abstractNum>
  <w:abstractNum w:abstractNumId="4" w15:restartNumberingAfterBreak="0">
    <w:nsid w:val="21AC03CA"/>
    <w:multiLevelType w:val="hybridMultilevel"/>
    <w:tmpl w:val="13B8D3B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30B97084"/>
    <w:multiLevelType w:val="hybridMultilevel"/>
    <w:tmpl w:val="97785F6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32022D1D"/>
    <w:multiLevelType w:val="hybridMultilevel"/>
    <w:tmpl w:val="E982DAE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35A40C30"/>
    <w:multiLevelType w:val="multilevel"/>
    <w:tmpl w:val="9FBEC60C"/>
    <w:lvl w:ilvl="0">
      <w:start w:val="1"/>
      <w:numFmt w:val="decimal"/>
      <w:pStyle w:val="Ttulo1"/>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4144092C"/>
    <w:multiLevelType w:val="hybridMultilevel"/>
    <w:tmpl w:val="390E5F2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4ACF2199"/>
    <w:multiLevelType w:val="hybridMultilevel"/>
    <w:tmpl w:val="0B3E8938"/>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0" w15:restartNumberingAfterBreak="0">
    <w:nsid w:val="4C55105D"/>
    <w:multiLevelType w:val="hybridMultilevel"/>
    <w:tmpl w:val="0060CBC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4FE419A5"/>
    <w:multiLevelType w:val="hybridMultilevel"/>
    <w:tmpl w:val="23340916"/>
    <w:lvl w:ilvl="0" w:tplc="5198AF40">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2" w15:restartNumberingAfterBreak="0">
    <w:nsid w:val="51DA628F"/>
    <w:multiLevelType w:val="hybridMultilevel"/>
    <w:tmpl w:val="ACF015F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6DF22781"/>
    <w:multiLevelType w:val="hybridMultilevel"/>
    <w:tmpl w:val="805248B2"/>
    <w:lvl w:ilvl="0" w:tplc="5FE4458C">
      <w:start w:val="1"/>
      <w:numFmt w:val="bullet"/>
      <w:lvlText w:val=""/>
      <w:lvlJc w:val="left"/>
      <w:pPr>
        <w:ind w:left="720" w:hanging="360"/>
      </w:pPr>
      <w:rPr>
        <w:rFonts w:ascii="Symbol" w:hAnsi="Symbol" w:hint="default"/>
      </w:rPr>
    </w:lvl>
    <w:lvl w:ilvl="1" w:tplc="9FB2F7AC">
      <w:start w:val="1"/>
      <w:numFmt w:val="bullet"/>
      <w:lvlText w:val="o"/>
      <w:lvlJc w:val="left"/>
      <w:pPr>
        <w:ind w:left="1440" w:hanging="360"/>
      </w:pPr>
      <w:rPr>
        <w:rFonts w:ascii="Courier New" w:hAnsi="Courier New" w:hint="default"/>
      </w:rPr>
    </w:lvl>
    <w:lvl w:ilvl="2" w:tplc="19AAFA4C">
      <w:start w:val="1"/>
      <w:numFmt w:val="bullet"/>
      <w:lvlText w:val=""/>
      <w:lvlJc w:val="left"/>
      <w:pPr>
        <w:ind w:left="2160" w:hanging="360"/>
      </w:pPr>
      <w:rPr>
        <w:rFonts w:ascii="Wingdings" w:hAnsi="Wingdings" w:hint="default"/>
      </w:rPr>
    </w:lvl>
    <w:lvl w:ilvl="3" w:tplc="B9A215D6">
      <w:start w:val="1"/>
      <w:numFmt w:val="bullet"/>
      <w:lvlText w:val=""/>
      <w:lvlJc w:val="left"/>
      <w:pPr>
        <w:ind w:left="2880" w:hanging="360"/>
      </w:pPr>
      <w:rPr>
        <w:rFonts w:ascii="Symbol" w:hAnsi="Symbol" w:hint="default"/>
      </w:rPr>
    </w:lvl>
    <w:lvl w:ilvl="4" w:tplc="F564A500">
      <w:start w:val="1"/>
      <w:numFmt w:val="bullet"/>
      <w:lvlText w:val="o"/>
      <w:lvlJc w:val="left"/>
      <w:pPr>
        <w:ind w:left="3600" w:hanging="360"/>
      </w:pPr>
      <w:rPr>
        <w:rFonts w:ascii="Courier New" w:hAnsi="Courier New" w:hint="default"/>
      </w:rPr>
    </w:lvl>
    <w:lvl w:ilvl="5" w:tplc="5F723260">
      <w:start w:val="1"/>
      <w:numFmt w:val="bullet"/>
      <w:lvlText w:val=""/>
      <w:lvlJc w:val="left"/>
      <w:pPr>
        <w:ind w:left="4320" w:hanging="360"/>
      </w:pPr>
      <w:rPr>
        <w:rFonts w:ascii="Wingdings" w:hAnsi="Wingdings" w:hint="default"/>
      </w:rPr>
    </w:lvl>
    <w:lvl w:ilvl="6" w:tplc="FB9AEF54">
      <w:start w:val="1"/>
      <w:numFmt w:val="bullet"/>
      <w:lvlText w:val=""/>
      <w:lvlJc w:val="left"/>
      <w:pPr>
        <w:ind w:left="5040" w:hanging="360"/>
      </w:pPr>
      <w:rPr>
        <w:rFonts w:ascii="Symbol" w:hAnsi="Symbol" w:hint="default"/>
      </w:rPr>
    </w:lvl>
    <w:lvl w:ilvl="7" w:tplc="E79252BE">
      <w:start w:val="1"/>
      <w:numFmt w:val="bullet"/>
      <w:lvlText w:val="o"/>
      <w:lvlJc w:val="left"/>
      <w:pPr>
        <w:ind w:left="5760" w:hanging="360"/>
      </w:pPr>
      <w:rPr>
        <w:rFonts w:ascii="Courier New" w:hAnsi="Courier New" w:hint="default"/>
      </w:rPr>
    </w:lvl>
    <w:lvl w:ilvl="8" w:tplc="BCDE1320">
      <w:start w:val="1"/>
      <w:numFmt w:val="bullet"/>
      <w:lvlText w:val=""/>
      <w:lvlJc w:val="left"/>
      <w:pPr>
        <w:ind w:left="6480" w:hanging="360"/>
      </w:pPr>
      <w:rPr>
        <w:rFonts w:ascii="Wingdings" w:hAnsi="Wingdings" w:hint="default"/>
      </w:rPr>
    </w:lvl>
  </w:abstractNum>
  <w:abstractNum w:abstractNumId="14" w15:restartNumberingAfterBreak="0">
    <w:nsid w:val="720D1E03"/>
    <w:multiLevelType w:val="hybridMultilevel"/>
    <w:tmpl w:val="16E4AF3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7464733B"/>
    <w:multiLevelType w:val="multilevel"/>
    <w:tmpl w:val="DBB41306"/>
    <w:lvl w:ilvl="0">
      <w:start w:val="1"/>
      <w:numFmt w:val="decimal"/>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6" w15:restartNumberingAfterBreak="0">
    <w:nsid w:val="7AA43BAB"/>
    <w:multiLevelType w:val="hybridMultilevel"/>
    <w:tmpl w:val="908CAC58"/>
    <w:lvl w:ilvl="0" w:tplc="5E1E0100">
      <w:start w:val="1"/>
      <w:numFmt w:val="bullet"/>
      <w:lvlText w:val=""/>
      <w:lvlJc w:val="left"/>
      <w:pPr>
        <w:ind w:left="720" w:hanging="360"/>
      </w:pPr>
      <w:rPr>
        <w:rFonts w:ascii="Symbol" w:hAnsi="Symbol" w:hint="default"/>
      </w:rPr>
    </w:lvl>
    <w:lvl w:ilvl="1" w:tplc="C54C806E">
      <w:start w:val="1"/>
      <w:numFmt w:val="bullet"/>
      <w:lvlText w:val="o"/>
      <w:lvlJc w:val="left"/>
      <w:pPr>
        <w:ind w:left="1440" w:hanging="360"/>
      </w:pPr>
      <w:rPr>
        <w:rFonts w:ascii="Courier New" w:hAnsi="Courier New" w:hint="default"/>
      </w:rPr>
    </w:lvl>
    <w:lvl w:ilvl="2" w:tplc="8B687CEA">
      <w:start w:val="1"/>
      <w:numFmt w:val="bullet"/>
      <w:lvlText w:val=""/>
      <w:lvlJc w:val="left"/>
      <w:pPr>
        <w:ind w:left="2160" w:hanging="360"/>
      </w:pPr>
      <w:rPr>
        <w:rFonts w:ascii="Wingdings" w:hAnsi="Wingdings" w:hint="default"/>
      </w:rPr>
    </w:lvl>
    <w:lvl w:ilvl="3" w:tplc="836E95EA">
      <w:start w:val="1"/>
      <w:numFmt w:val="bullet"/>
      <w:lvlText w:val=""/>
      <w:lvlJc w:val="left"/>
      <w:pPr>
        <w:ind w:left="2880" w:hanging="360"/>
      </w:pPr>
      <w:rPr>
        <w:rFonts w:ascii="Symbol" w:hAnsi="Symbol" w:hint="default"/>
      </w:rPr>
    </w:lvl>
    <w:lvl w:ilvl="4" w:tplc="B3229388">
      <w:start w:val="1"/>
      <w:numFmt w:val="bullet"/>
      <w:lvlText w:val="o"/>
      <w:lvlJc w:val="left"/>
      <w:pPr>
        <w:ind w:left="3600" w:hanging="360"/>
      </w:pPr>
      <w:rPr>
        <w:rFonts w:ascii="Courier New" w:hAnsi="Courier New" w:hint="default"/>
      </w:rPr>
    </w:lvl>
    <w:lvl w:ilvl="5" w:tplc="2D2C77F6">
      <w:start w:val="1"/>
      <w:numFmt w:val="bullet"/>
      <w:lvlText w:val=""/>
      <w:lvlJc w:val="left"/>
      <w:pPr>
        <w:ind w:left="4320" w:hanging="360"/>
      </w:pPr>
      <w:rPr>
        <w:rFonts w:ascii="Wingdings" w:hAnsi="Wingdings" w:hint="default"/>
      </w:rPr>
    </w:lvl>
    <w:lvl w:ilvl="6" w:tplc="B2142200">
      <w:start w:val="1"/>
      <w:numFmt w:val="bullet"/>
      <w:lvlText w:val=""/>
      <w:lvlJc w:val="left"/>
      <w:pPr>
        <w:ind w:left="5040" w:hanging="360"/>
      </w:pPr>
      <w:rPr>
        <w:rFonts w:ascii="Symbol" w:hAnsi="Symbol" w:hint="default"/>
      </w:rPr>
    </w:lvl>
    <w:lvl w:ilvl="7" w:tplc="A7026DC4">
      <w:start w:val="1"/>
      <w:numFmt w:val="bullet"/>
      <w:lvlText w:val="o"/>
      <w:lvlJc w:val="left"/>
      <w:pPr>
        <w:ind w:left="5760" w:hanging="360"/>
      </w:pPr>
      <w:rPr>
        <w:rFonts w:ascii="Courier New" w:hAnsi="Courier New" w:hint="default"/>
      </w:rPr>
    </w:lvl>
    <w:lvl w:ilvl="8" w:tplc="75BE79C8">
      <w:start w:val="1"/>
      <w:numFmt w:val="bullet"/>
      <w:lvlText w:val=""/>
      <w:lvlJc w:val="left"/>
      <w:pPr>
        <w:ind w:left="6480" w:hanging="360"/>
      </w:pPr>
      <w:rPr>
        <w:rFonts w:ascii="Wingdings" w:hAnsi="Wingdings" w:hint="default"/>
      </w:rPr>
    </w:lvl>
  </w:abstractNum>
  <w:abstractNum w:abstractNumId="17" w15:restartNumberingAfterBreak="0">
    <w:nsid w:val="7DD81641"/>
    <w:multiLevelType w:val="hybridMultilevel"/>
    <w:tmpl w:val="C746473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2048603688">
    <w:abstractNumId w:val="16"/>
  </w:num>
  <w:num w:numId="2" w16cid:durableId="626475261">
    <w:abstractNumId w:val="13"/>
  </w:num>
  <w:num w:numId="3" w16cid:durableId="1679884399">
    <w:abstractNumId w:val="7"/>
  </w:num>
  <w:num w:numId="4" w16cid:durableId="794832860">
    <w:abstractNumId w:val="15"/>
  </w:num>
  <w:num w:numId="5" w16cid:durableId="543062214">
    <w:abstractNumId w:val="8"/>
  </w:num>
  <w:num w:numId="6" w16cid:durableId="361135004">
    <w:abstractNumId w:val="17"/>
  </w:num>
  <w:num w:numId="7" w16cid:durableId="986982749">
    <w:abstractNumId w:val="14"/>
  </w:num>
  <w:num w:numId="8" w16cid:durableId="1008796566">
    <w:abstractNumId w:val="5"/>
  </w:num>
  <w:num w:numId="9" w16cid:durableId="361396588">
    <w:abstractNumId w:val="10"/>
  </w:num>
  <w:num w:numId="10" w16cid:durableId="1598563344">
    <w:abstractNumId w:val="2"/>
  </w:num>
  <w:num w:numId="11" w16cid:durableId="496195035">
    <w:abstractNumId w:val="9"/>
  </w:num>
  <w:num w:numId="12" w16cid:durableId="646010103">
    <w:abstractNumId w:val="3"/>
  </w:num>
  <w:num w:numId="13" w16cid:durableId="1786848870">
    <w:abstractNumId w:val="11"/>
  </w:num>
  <w:num w:numId="14" w16cid:durableId="1667126805">
    <w:abstractNumId w:val="4"/>
  </w:num>
  <w:num w:numId="15" w16cid:durableId="747116975">
    <w:abstractNumId w:val="12"/>
  </w:num>
  <w:num w:numId="16" w16cid:durableId="885683600">
    <w:abstractNumId w:val="6"/>
  </w:num>
  <w:num w:numId="17" w16cid:durableId="309556773">
    <w:abstractNumId w:val="1"/>
  </w:num>
  <w:num w:numId="18" w16cid:durableId="149672710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3"/>
  <w:defaultTabStop w:val="708"/>
  <w:hyphenationZone w:val="425"/>
  <w:characterSpacingControl w:val="doNotCompress"/>
  <w:savePreviewPicture/>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7530"/>
    <w:rsid w:val="00007A84"/>
    <w:rsid w:val="000129A2"/>
    <w:rsid w:val="00015C88"/>
    <w:rsid w:val="00015C95"/>
    <w:rsid w:val="00024C69"/>
    <w:rsid w:val="00024CF6"/>
    <w:rsid w:val="00033DFF"/>
    <w:rsid w:val="00035F92"/>
    <w:rsid w:val="00044780"/>
    <w:rsid w:val="0005079F"/>
    <w:rsid w:val="00051DC3"/>
    <w:rsid w:val="000668BE"/>
    <w:rsid w:val="0008177C"/>
    <w:rsid w:val="0009450E"/>
    <w:rsid w:val="000B70C6"/>
    <w:rsid w:val="000C18D0"/>
    <w:rsid w:val="000C1B7E"/>
    <w:rsid w:val="000C5279"/>
    <w:rsid w:val="000D31B8"/>
    <w:rsid w:val="000F1955"/>
    <w:rsid w:val="000F433E"/>
    <w:rsid w:val="000F56BB"/>
    <w:rsid w:val="000F6AE5"/>
    <w:rsid w:val="000F7AA5"/>
    <w:rsid w:val="001054D9"/>
    <w:rsid w:val="00107EC8"/>
    <w:rsid w:val="0011132B"/>
    <w:rsid w:val="00114078"/>
    <w:rsid w:val="00131D83"/>
    <w:rsid w:val="00134D0E"/>
    <w:rsid w:val="001358D0"/>
    <w:rsid w:val="0015265D"/>
    <w:rsid w:val="001527B2"/>
    <w:rsid w:val="00156C18"/>
    <w:rsid w:val="00156D24"/>
    <w:rsid w:val="00167732"/>
    <w:rsid w:val="001758F9"/>
    <w:rsid w:val="00182E16"/>
    <w:rsid w:val="001A0676"/>
    <w:rsid w:val="001B11C7"/>
    <w:rsid w:val="001B3DDE"/>
    <w:rsid w:val="001B43B8"/>
    <w:rsid w:val="001B7671"/>
    <w:rsid w:val="001D0278"/>
    <w:rsid w:val="001D57D7"/>
    <w:rsid w:val="001E110D"/>
    <w:rsid w:val="001E2AA0"/>
    <w:rsid w:val="001E3701"/>
    <w:rsid w:val="0020145B"/>
    <w:rsid w:val="00206213"/>
    <w:rsid w:val="002066B7"/>
    <w:rsid w:val="002100D7"/>
    <w:rsid w:val="00221E80"/>
    <w:rsid w:val="00226445"/>
    <w:rsid w:val="00240E3B"/>
    <w:rsid w:val="00243A8F"/>
    <w:rsid w:val="00245F51"/>
    <w:rsid w:val="00250A4B"/>
    <w:rsid w:val="00251F74"/>
    <w:rsid w:val="00262E4B"/>
    <w:rsid w:val="00264DB3"/>
    <w:rsid w:val="002709E6"/>
    <w:rsid w:val="002774D3"/>
    <w:rsid w:val="002825CD"/>
    <w:rsid w:val="00284370"/>
    <w:rsid w:val="002A42ED"/>
    <w:rsid w:val="002B605E"/>
    <w:rsid w:val="002C5E3E"/>
    <w:rsid w:val="002C67F0"/>
    <w:rsid w:val="002C76D6"/>
    <w:rsid w:val="002D19B0"/>
    <w:rsid w:val="002D2392"/>
    <w:rsid w:val="002D3EA0"/>
    <w:rsid w:val="002D6D99"/>
    <w:rsid w:val="002E25B4"/>
    <w:rsid w:val="002E3F8C"/>
    <w:rsid w:val="002E445A"/>
    <w:rsid w:val="002E4849"/>
    <w:rsid w:val="002E6C69"/>
    <w:rsid w:val="003007DA"/>
    <w:rsid w:val="003120B2"/>
    <w:rsid w:val="00320BAF"/>
    <w:rsid w:val="00322AE7"/>
    <w:rsid w:val="00322D73"/>
    <w:rsid w:val="0032727E"/>
    <w:rsid w:val="003361B3"/>
    <w:rsid w:val="00341152"/>
    <w:rsid w:val="00347D40"/>
    <w:rsid w:val="0035418C"/>
    <w:rsid w:val="00355F00"/>
    <w:rsid w:val="003810C4"/>
    <w:rsid w:val="00383090"/>
    <w:rsid w:val="003911FA"/>
    <w:rsid w:val="00391D36"/>
    <w:rsid w:val="00393C41"/>
    <w:rsid w:val="003A5552"/>
    <w:rsid w:val="003B06D4"/>
    <w:rsid w:val="003B256E"/>
    <w:rsid w:val="003C1B3F"/>
    <w:rsid w:val="003C33B9"/>
    <w:rsid w:val="003D0DD8"/>
    <w:rsid w:val="003E3756"/>
    <w:rsid w:val="003E6AF6"/>
    <w:rsid w:val="003F17AD"/>
    <w:rsid w:val="003F5A03"/>
    <w:rsid w:val="00401BE9"/>
    <w:rsid w:val="004079BC"/>
    <w:rsid w:val="004200AF"/>
    <w:rsid w:val="0043405D"/>
    <w:rsid w:val="00434092"/>
    <w:rsid w:val="00444BB9"/>
    <w:rsid w:val="004569A1"/>
    <w:rsid w:val="00462DA0"/>
    <w:rsid w:val="00462EEB"/>
    <w:rsid w:val="00464A80"/>
    <w:rsid w:val="004662EA"/>
    <w:rsid w:val="00476536"/>
    <w:rsid w:val="00476610"/>
    <w:rsid w:val="0048353C"/>
    <w:rsid w:val="00491A27"/>
    <w:rsid w:val="00493B98"/>
    <w:rsid w:val="004A63A4"/>
    <w:rsid w:val="004A63D5"/>
    <w:rsid w:val="004A6E4F"/>
    <w:rsid w:val="004C33D6"/>
    <w:rsid w:val="004C346B"/>
    <w:rsid w:val="004D0947"/>
    <w:rsid w:val="004D4963"/>
    <w:rsid w:val="004E11E9"/>
    <w:rsid w:val="004E44B1"/>
    <w:rsid w:val="004E4699"/>
    <w:rsid w:val="004E7FFB"/>
    <w:rsid w:val="004F3B87"/>
    <w:rsid w:val="004F40E7"/>
    <w:rsid w:val="004F4B1F"/>
    <w:rsid w:val="0050070B"/>
    <w:rsid w:val="005026F5"/>
    <w:rsid w:val="005178F9"/>
    <w:rsid w:val="00550B38"/>
    <w:rsid w:val="005541BC"/>
    <w:rsid w:val="00555D0B"/>
    <w:rsid w:val="005632DA"/>
    <w:rsid w:val="00576B04"/>
    <w:rsid w:val="00590AB2"/>
    <w:rsid w:val="00595733"/>
    <w:rsid w:val="005978C6"/>
    <w:rsid w:val="005A647E"/>
    <w:rsid w:val="005B7277"/>
    <w:rsid w:val="005C44B6"/>
    <w:rsid w:val="005C6552"/>
    <w:rsid w:val="005C6C36"/>
    <w:rsid w:val="005E2A8B"/>
    <w:rsid w:val="005E3BBB"/>
    <w:rsid w:val="005E412E"/>
    <w:rsid w:val="005E4FB7"/>
    <w:rsid w:val="005F2C74"/>
    <w:rsid w:val="005F44E8"/>
    <w:rsid w:val="00613005"/>
    <w:rsid w:val="00614EA8"/>
    <w:rsid w:val="006221A5"/>
    <w:rsid w:val="00622959"/>
    <w:rsid w:val="006244E7"/>
    <w:rsid w:val="00627ECE"/>
    <w:rsid w:val="0063745A"/>
    <w:rsid w:val="00647916"/>
    <w:rsid w:val="006645F2"/>
    <w:rsid w:val="006648DF"/>
    <w:rsid w:val="00666B2E"/>
    <w:rsid w:val="006727D1"/>
    <w:rsid w:val="00682CCF"/>
    <w:rsid w:val="006A2BCD"/>
    <w:rsid w:val="006A53C1"/>
    <w:rsid w:val="006B257F"/>
    <w:rsid w:val="006B4B14"/>
    <w:rsid w:val="006C3755"/>
    <w:rsid w:val="006C5F6F"/>
    <w:rsid w:val="006C6979"/>
    <w:rsid w:val="006C7530"/>
    <w:rsid w:val="006D0CEE"/>
    <w:rsid w:val="006D2BB5"/>
    <w:rsid w:val="006D61FF"/>
    <w:rsid w:val="006E06FC"/>
    <w:rsid w:val="006E5C85"/>
    <w:rsid w:val="006F04E5"/>
    <w:rsid w:val="006F7AF0"/>
    <w:rsid w:val="007009DC"/>
    <w:rsid w:val="00701C84"/>
    <w:rsid w:val="00701F2F"/>
    <w:rsid w:val="007038B2"/>
    <w:rsid w:val="007128B3"/>
    <w:rsid w:val="00713CF5"/>
    <w:rsid w:val="00716B18"/>
    <w:rsid w:val="00723BA1"/>
    <w:rsid w:val="00740F6B"/>
    <w:rsid w:val="00741570"/>
    <w:rsid w:val="00742B5E"/>
    <w:rsid w:val="00774299"/>
    <w:rsid w:val="00785A31"/>
    <w:rsid w:val="00794389"/>
    <w:rsid w:val="007943BD"/>
    <w:rsid w:val="007971EC"/>
    <w:rsid w:val="007A626F"/>
    <w:rsid w:val="007B7AD4"/>
    <w:rsid w:val="007C311B"/>
    <w:rsid w:val="007D7086"/>
    <w:rsid w:val="007E0158"/>
    <w:rsid w:val="007F2465"/>
    <w:rsid w:val="00806AB0"/>
    <w:rsid w:val="008073B3"/>
    <w:rsid w:val="0081570D"/>
    <w:rsid w:val="008170BF"/>
    <w:rsid w:val="00824BD2"/>
    <w:rsid w:val="00836357"/>
    <w:rsid w:val="00844E2C"/>
    <w:rsid w:val="008623F6"/>
    <w:rsid w:val="00864AA6"/>
    <w:rsid w:val="00873490"/>
    <w:rsid w:val="00882D55"/>
    <w:rsid w:val="00886897"/>
    <w:rsid w:val="00887114"/>
    <w:rsid w:val="008A37A9"/>
    <w:rsid w:val="008A7F69"/>
    <w:rsid w:val="008B0B8C"/>
    <w:rsid w:val="008C0AE4"/>
    <w:rsid w:val="008D1FC6"/>
    <w:rsid w:val="008D3BD5"/>
    <w:rsid w:val="008D6DF3"/>
    <w:rsid w:val="008F5C12"/>
    <w:rsid w:val="00900846"/>
    <w:rsid w:val="00902398"/>
    <w:rsid w:val="00936779"/>
    <w:rsid w:val="00940854"/>
    <w:rsid w:val="00943C03"/>
    <w:rsid w:val="0094595F"/>
    <w:rsid w:val="009537F4"/>
    <w:rsid w:val="00971A72"/>
    <w:rsid w:val="00974294"/>
    <w:rsid w:val="00981412"/>
    <w:rsid w:val="009902FC"/>
    <w:rsid w:val="00991A6F"/>
    <w:rsid w:val="009B0E03"/>
    <w:rsid w:val="009B6005"/>
    <w:rsid w:val="009C46F6"/>
    <w:rsid w:val="009E1C1E"/>
    <w:rsid w:val="009E6B20"/>
    <w:rsid w:val="009F1D24"/>
    <w:rsid w:val="009F677B"/>
    <w:rsid w:val="009F7188"/>
    <w:rsid w:val="00A00E59"/>
    <w:rsid w:val="00A11C83"/>
    <w:rsid w:val="00A174E0"/>
    <w:rsid w:val="00A20FC6"/>
    <w:rsid w:val="00A251F3"/>
    <w:rsid w:val="00A27E77"/>
    <w:rsid w:val="00A31C3E"/>
    <w:rsid w:val="00A36AE7"/>
    <w:rsid w:val="00A36DAA"/>
    <w:rsid w:val="00A40990"/>
    <w:rsid w:val="00A417CA"/>
    <w:rsid w:val="00A521BE"/>
    <w:rsid w:val="00A53389"/>
    <w:rsid w:val="00A556A8"/>
    <w:rsid w:val="00A55E56"/>
    <w:rsid w:val="00A91734"/>
    <w:rsid w:val="00A9613E"/>
    <w:rsid w:val="00A9765D"/>
    <w:rsid w:val="00AA0CF7"/>
    <w:rsid w:val="00AA1933"/>
    <w:rsid w:val="00AC57EA"/>
    <w:rsid w:val="00AD74E6"/>
    <w:rsid w:val="00AE1B21"/>
    <w:rsid w:val="00AE3EAC"/>
    <w:rsid w:val="00AE7CFB"/>
    <w:rsid w:val="00AF580D"/>
    <w:rsid w:val="00B02474"/>
    <w:rsid w:val="00B02B8A"/>
    <w:rsid w:val="00B05B5C"/>
    <w:rsid w:val="00B05BB3"/>
    <w:rsid w:val="00B21640"/>
    <w:rsid w:val="00B2532F"/>
    <w:rsid w:val="00B311A1"/>
    <w:rsid w:val="00B312D6"/>
    <w:rsid w:val="00B36234"/>
    <w:rsid w:val="00B40F63"/>
    <w:rsid w:val="00B42074"/>
    <w:rsid w:val="00B46078"/>
    <w:rsid w:val="00B46207"/>
    <w:rsid w:val="00B51587"/>
    <w:rsid w:val="00B5183F"/>
    <w:rsid w:val="00B56953"/>
    <w:rsid w:val="00B7101F"/>
    <w:rsid w:val="00B71175"/>
    <w:rsid w:val="00B724B5"/>
    <w:rsid w:val="00B76066"/>
    <w:rsid w:val="00B819C5"/>
    <w:rsid w:val="00B90CC2"/>
    <w:rsid w:val="00B9273F"/>
    <w:rsid w:val="00B95D89"/>
    <w:rsid w:val="00BA1289"/>
    <w:rsid w:val="00BA7195"/>
    <w:rsid w:val="00BB3B1E"/>
    <w:rsid w:val="00BC367F"/>
    <w:rsid w:val="00BC4C6D"/>
    <w:rsid w:val="00BC5A92"/>
    <w:rsid w:val="00BC78BF"/>
    <w:rsid w:val="00BD1398"/>
    <w:rsid w:val="00BD4FCA"/>
    <w:rsid w:val="00BE4FB6"/>
    <w:rsid w:val="00BE69C5"/>
    <w:rsid w:val="00BF3B0F"/>
    <w:rsid w:val="00C00F55"/>
    <w:rsid w:val="00C035B6"/>
    <w:rsid w:val="00C1218C"/>
    <w:rsid w:val="00C12A6E"/>
    <w:rsid w:val="00C13F2E"/>
    <w:rsid w:val="00C1594D"/>
    <w:rsid w:val="00C23007"/>
    <w:rsid w:val="00C240BD"/>
    <w:rsid w:val="00C25E12"/>
    <w:rsid w:val="00C305E5"/>
    <w:rsid w:val="00C33B72"/>
    <w:rsid w:val="00C37081"/>
    <w:rsid w:val="00C47EF5"/>
    <w:rsid w:val="00C51966"/>
    <w:rsid w:val="00C56D84"/>
    <w:rsid w:val="00C57F2E"/>
    <w:rsid w:val="00C63481"/>
    <w:rsid w:val="00C66BD4"/>
    <w:rsid w:val="00C70FF5"/>
    <w:rsid w:val="00C81178"/>
    <w:rsid w:val="00C8340C"/>
    <w:rsid w:val="00C852DF"/>
    <w:rsid w:val="00C91C71"/>
    <w:rsid w:val="00C9735C"/>
    <w:rsid w:val="00CA002F"/>
    <w:rsid w:val="00CB0389"/>
    <w:rsid w:val="00CB20D7"/>
    <w:rsid w:val="00CC6DD4"/>
    <w:rsid w:val="00CC78C2"/>
    <w:rsid w:val="00CD2A66"/>
    <w:rsid w:val="00CD47C8"/>
    <w:rsid w:val="00CE1250"/>
    <w:rsid w:val="00CF312B"/>
    <w:rsid w:val="00D01228"/>
    <w:rsid w:val="00D05C58"/>
    <w:rsid w:val="00D11C1F"/>
    <w:rsid w:val="00D27D4A"/>
    <w:rsid w:val="00D44D2F"/>
    <w:rsid w:val="00D47A94"/>
    <w:rsid w:val="00D71A27"/>
    <w:rsid w:val="00D802BE"/>
    <w:rsid w:val="00D9090F"/>
    <w:rsid w:val="00D95C2E"/>
    <w:rsid w:val="00DA3030"/>
    <w:rsid w:val="00DA4311"/>
    <w:rsid w:val="00DC1426"/>
    <w:rsid w:val="00DC340A"/>
    <w:rsid w:val="00DC71B4"/>
    <w:rsid w:val="00DD04B8"/>
    <w:rsid w:val="00DD7255"/>
    <w:rsid w:val="00DF5589"/>
    <w:rsid w:val="00DF6B55"/>
    <w:rsid w:val="00E008B3"/>
    <w:rsid w:val="00E10FAC"/>
    <w:rsid w:val="00E12F44"/>
    <w:rsid w:val="00E16044"/>
    <w:rsid w:val="00E2746E"/>
    <w:rsid w:val="00E40CD4"/>
    <w:rsid w:val="00E53607"/>
    <w:rsid w:val="00E670DD"/>
    <w:rsid w:val="00E741D7"/>
    <w:rsid w:val="00E75278"/>
    <w:rsid w:val="00E76D73"/>
    <w:rsid w:val="00E770E1"/>
    <w:rsid w:val="00E803D8"/>
    <w:rsid w:val="00E93948"/>
    <w:rsid w:val="00E94900"/>
    <w:rsid w:val="00EA0130"/>
    <w:rsid w:val="00EA2CCB"/>
    <w:rsid w:val="00EB60AD"/>
    <w:rsid w:val="00ED18DC"/>
    <w:rsid w:val="00ED31D7"/>
    <w:rsid w:val="00EE042C"/>
    <w:rsid w:val="00EF12E6"/>
    <w:rsid w:val="00EF4CE0"/>
    <w:rsid w:val="00F006CE"/>
    <w:rsid w:val="00F16778"/>
    <w:rsid w:val="00F30CB2"/>
    <w:rsid w:val="00F33B52"/>
    <w:rsid w:val="00F46CDE"/>
    <w:rsid w:val="00F567DB"/>
    <w:rsid w:val="00F6429C"/>
    <w:rsid w:val="00F65B89"/>
    <w:rsid w:val="00F66E7E"/>
    <w:rsid w:val="00F7496B"/>
    <w:rsid w:val="00F750FF"/>
    <w:rsid w:val="00F77409"/>
    <w:rsid w:val="00FB6905"/>
    <w:rsid w:val="00FC1AF1"/>
    <w:rsid w:val="00FC47B9"/>
    <w:rsid w:val="00FD2009"/>
    <w:rsid w:val="00FD3EC6"/>
    <w:rsid w:val="00FF1242"/>
    <w:rsid w:val="062EE4F1"/>
    <w:rsid w:val="0ECEC3DD"/>
    <w:rsid w:val="1006760D"/>
    <w:rsid w:val="10C26691"/>
    <w:rsid w:val="10DDC0B3"/>
    <w:rsid w:val="1963FDC7"/>
    <w:rsid w:val="1CBD4CEE"/>
    <w:rsid w:val="1D6D44E2"/>
    <w:rsid w:val="1DBA5876"/>
    <w:rsid w:val="1DED5B76"/>
    <w:rsid w:val="1E98346E"/>
    <w:rsid w:val="2250A928"/>
    <w:rsid w:val="26E8A5DC"/>
    <w:rsid w:val="27771A4B"/>
    <w:rsid w:val="2A963B7E"/>
    <w:rsid w:val="2C7B7132"/>
    <w:rsid w:val="2DA2E08D"/>
    <w:rsid w:val="2DE0E3FA"/>
    <w:rsid w:val="2FE76489"/>
    <w:rsid w:val="35B6E3D9"/>
    <w:rsid w:val="36590EE1"/>
    <w:rsid w:val="3ACD79E2"/>
    <w:rsid w:val="3C6A0A7A"/>
    <w:rsid w:val="407B636D"/>
    <w:rsid w:val="4420D0C9"/>
    <w:rsid w:val="4637BF07"/>
    <w:rsid w:val="469FBD7E"/>
    <w:rsid w:val="48B30328"/>
    <w:rsid w:val="4ADBED1F"/>
    <w:rsid w:val="4AF4E4AD"/>
    <w:rsid w:val="54AFCCBD"/>
    <w:rsid w:val="5516A46A"/>
    <w:rsid w:val="58274407"/>
    <w:rsid w:val="58FFC8F0"/>
    <w:rsid w:val="599E08E5"/>
    <w:rsid w:val="61F29E26"/>
    <w:rsid w:val="673222DE"/>
    <w:rsid w:val="6AB1FCA4"/>
    <w:rsid w:val="6B662C62"/>
    <w:rsid w:val="7231C660"/>
    <w:rsid w:val="74AA7DD6"/>
    <w:rsid w:val="75DDE297"/>
    <w:rsid w:val="764F1B66"/>
    <w:rsid w:val="76E8BC6B"/>
    <w:rsid w:val="77B06E3A"/>
    <w:rsid w:val="7C6BCC47"/>
    <w:rsid w:val="7F91037D"/>
  </w:rsids>
  <m:mathPr>
    <m:mathFont m:val="Cambria Math"/>
    <m:brkBin m:val="before"/>
    <m:brkBinSub m:val="--"/>
    <m:smallFrac/>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991D548"/>
  <w15:docId w15:val="{7CA6AFE6-39F0-4240-95F0-0E452B16A9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mbria" w:eastAsia="MS Mincho" w:hAnsi="Cambria"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lsdException w:name="Colorful Grid Accent 6"/>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6C18"/>
    <w:rPr>
      <w:sz w:val="24"/>
      <w:szCs w:val="24"/>
      <w:lang w:val="en-GB"/>
    </w:rPr>
  </w:style>
  <w:style w:type="paragraph" w:styleId="Ttulo1">
    <w:name w:val="heading 1"/>
    <w:basedOn w:val="Normal"/>
    <w:next w:val="Normal"/>
    <w:link w:val="Ttulo1Car"/>
    <w:uiPriority w:val="9"/>
    <w:qFormat/>
    <w:rsid w:val="00DC1426"/>
    <w:pPr>
      <w:keepNext/>
      <w:keepLines/>
      <w:numPr>
        <w:numId w:val="3"/>
      </w:numPr>
      <w:spacing w:before="240"/>
      <w:outlineLvl w:val="0"/>
    </w:pPr>
    <w:rPr>
      <w:rFonts w:ascii="Times New Roman" w:eastAsia="Times New Roman" w:hAnsi="Times New Roman"/>
      <w:b/>
      <w:color w:val="1C1D1E"/>
      <w:sz w:val="32"/>
      <w:szCs w:val="32"/>
      <w:shd w:val="clear" w:color="auto" w:fill="FFFFFF"/>
      <w:lang w:val="es-ES"/>
    </w:rPr>
  </w:style>
  <w:style w:type="paragraph" w:styleId="Ttulo2">
    <w:name w:val="heading 2"/>
    <w:basedOn w:val="Normal"/>
    <w:next w:val="Normal"/>
    <w:link w:val="Ttulo2Car"/>
    <w:uiPriority w:val="9"/>
    <w:unhideWhenUsed/>
    <w:qFormat/>
    <w:rsid w:val="00156C18"/>
    <w:pPr>
      <w:keepNext/>
      <w:keepLines/>
      <w:numPr>
        <w:ilvl w:val="1"/>
        <w:numId w:val="4"/>
      </w:numPr>
      <w:spacing w:before="40"/>
      <w:outlineLvl w:val="1"/>
    </w:pPr>
    <w:rPr>
      <w:rFonts w:ascii="Calibri" w:eastAsia="MS Gothic" w:hAnsi="Calibri"/>
      <w:color w:val="365F91"/>
      <w:sz w:val="26"/>
      <w:szCs w:val="26"/>
    </w:rPr>
  </w:style>
  <w:style w:type="paragraph" w:styleId="Ttulo3">
    <w:name w:val="heading 3"/>
    <w:basedOn w:val="Normal"/>
    <w:link w:val="Ttulo3Car"/>
    <w:uiPriority w:val="9"/>
    <w:qFormat/>
    <w:rsid w:val="00ED18DC"/>
    <w:pPr>
      <w:numPr>
        <w:ilvl w:val="2"/>
        <w:numId w:val="4"/>
      </w:numPr>
      <w:spacing w:before="100" w:beforeAutospacing="1" w:after="100" w:afterAutospacing="1"/>
      <w:outlineLvl w:val="2"/>
    </w:pPr>
    <w:rPr>
      <w:rFonts w:ascii="Times" w:hAnsi="Times"/>
      <w:b/>
      <w:bCs/>
      <w:sz w:val="27"/>
      <w:szCs w:val="27"/>
      <w:lang w:val="es-ES"/>
    </w:rPr>
  </w:style>
  <w:style w:type="paragraph" w:styleId="Ttulo4">
    <w:name w:val="heading 4"/>
    <w:basedOn w:val="Normal"/>
    <w:next w:val="Normal"/>
    <w:link w:val="Ttulo4Car"/>
    <w:uiPriority w:val="9"/>
    <w:semiHidden/>
    <w:unhideWhenUsed/>
    <w:qFormat/>
    <w:rsid w:val="00DC1426"/>
    <w:pPr>
      <w:keepNext/>
      <w:keepLines/>
      <w:numPr>
        <w:ilvl w:val="3"/>
        <w:numId w:val="4"/>
      </w:numPr>
      <w:spacing w:before="40"/>
      <w:outlineLvl w:val="3"/>
    </w:pPr>
    <w:rPr>
      <w:rFonts w:ascii="Calibri" w:eastAsia="MS Gothic" w:hAnsi="Calibri"/>
      <w:i/>
      <w:iCs/>
      <w:color w:val="365F91"/>
    </w:rPr>
  </w:style>
  <w:style w:type="paragraph" w:styleId="Ttulo5">
    <w:name w:val="heading 5"/>
    <w:basedOn w:val="Normal"/>
    <w:next w:val="Normal"/>
    <w:link w:val="Ttulo5Car"/>
    <w:uiPriority w:val="9"/>
    <w:semiHidden/>
    <w:unhideWhenUsed/>
    <w:qFormat/>
    <w:rsid w:val="00DC1426"/>
    <w:pPr>
      <w:keepNext/>
      <w:keepLines/>
      <w:numPr>
        <w:ilvl w:val="4"/>
        <w:numId w:val="4"/>
      </w:numPr>
      <w:spacing w:before="40"/>
      <w:outlineLvl w:val="4"/>
    </w:pPr>
    <w:rPr>
      <w:rFonts w:ascii="Calibri" w:eastAsia="MS Gothic" w:hAnsi="Calibri"/>
      <w:color w:val="365F91"/>
    </w:rPr>
  </w:style>
  <w:style w:type="paragraph" w:styleId="Ttulo6">
    <w:name w:val="heading 6"/>
    <w:basedOn w:val="Normal"/>
    <w:next w:val="Normal"/>
    <w:link w:val="Ttulo6Car"/>
    <w:uiPriority w:val="9"/>
    <w:semiHidden/>
    <w:unhideWhenUsed/>
    <w:qFormat/>
    <w:rsid w:val="00DC1426"/>
    <w:pPr>
      <w:keepNext/>
      <w:keepLines/>
      <w:numPr>
        <w:ilvl w:val="5"/>
        <w:numId w:val="4"/>
      </w:numPr>
      <w:spacing w:before="40"/>
      <w:outlineLvl w:val="5"/>
    </w:pPr>
    <w:rPr>
      <w:rFonts w:ascii="Calibri" w:eastAsia="MS Gothic" w:hAnsi="Calibri"/>
      <w:color w:val="243F60"/>
    </w:rPr>
  </w:style>
  <w:style w:type="paragraph" w:styleId="Ttulo7">
    <w:name w:val="heading 7"/>
    <w:basedOn w:val="Normal"/>
    <w:next w:val="Normal"/>
    <w:link w:val="Ttulo7Car"/>
    <w:uiPriority w:val="9"/>
    <w:semiHidden/>
    <w:unhideWhenUsed/>
    <w:qFormat/>
    <w:rsid w:val="00DC1426"/>
    <w:pPr>
      <w:keepNext/>
      <w:keepLines/>
      <w:numPr>
        <w:ilvl w:val="6"/>
        <w:numId w:val="4"/>
      </w:numPr>
      <w:spacing w:before="40"/>
      <w:outlineLvl w:val="6"/>
    </w:pPr>
    <w:rPr>
      <w:rFonts w:ascii="Calibri" w:eastAsia="MS Gothic" w:hAnsi="Calibri"/>
      <w:i/>
      <w:iCs/>
      <w:color w:val="243F60"/>
    </w:rPr>
  </w:style>
  <w:style w:type="paragraph" w:styleId="Ttulo8">
    <w:name w:val="heading 8"/>
    <w:basedOn w:val="Normal"/>
    <w:next w:val="Normal"/>
    <w:link w:val="Ttulo8Car"/>
    <w:uiPriority w:val="9"/>
    <w:semiHidden/>
    <w:unhideWhenUsed/>
    <w:qFormat/>
    <w:rsid w:val="00DC1426"/>
    <w:pPr>
      <w:keepNext/>
      <w:keepLines/>
      <w:numPr>
        <w:ilvl w:val="7"/>
        <w:numId w:val="4"/>
      </w:numPr>
      <w:spacing w:before="40"/>
      <w:outlineLvl w:val="7"/>
    </w:pPr>
    <w:rPr>
      <w:rFonts w:ascii="Calibri" w:eastAsia="MS Gothic" w:hAnsi="Calibri"/>
      <w:color w:val="272727"/>
      <w:sz w:val="21"/>
      <w:szCs w:val="21"/>
    </w:rPr>
  </w:style>
  <w:style w:type="paragraph" w:styleId="Ttulo9">
    <w:name w:val="heading 9"/>
    <w:basedOn w:val="Normal"/>
    <w:next w:val="Normal"/>
    <w:link w:val="Ttulo9Car"/>
    <w:uiPriority w:val="9"/>
    <w:semiHidden/>
    <w:unhideWhenUsed/>
    <w:qFormat/>
    <w:rsid w:val="00DC1426"/>
    <w:pPr>
      <w:keepNext/>
      <w:keepLines/>
      <w:numPr>
        <w:ilvl w:val="8"/>
        <w:numId w:val="4"/>
      </w:numPr>
      <w:spacing w:before="40"/>
      <w:outlineLvl w:val="8"/>
    </w:pPr>
    <w:rPr>
      <w:rFonts w:ascii="Calibri" w:eastAsia="MS Gothic" w:hAnsi="Calibri"/>
      <w:i/>
      <w:iCs/>
      <w:color w:val="272727"/>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converted-space">
    <w:name w:val="apple-converted-space"/>
    <w:basedOn w:val="Fuentedeprrafopredeter"/>
    <w:rsid w:val="006C7530"/>
  </w:style>
  <w:style w:type="character" w:styleId="Hipervnculo">
    <w:name w:val="Hyperlink"/>
    <w:uiPriority w:val="99"/>
    <w:unhideWhenUsed/>
    <w:rsid w:val="006C7530"/>
    <w:rPr>
      <w:color w:val="0000FF"/>
      <w:u w:val="single"/>
    </w:rPr>
  </w:style>
  <w:style w:type="paragraph" w:styleId="NormalWeb">
    <w:name w:val="Normal (Web)"/>
    <w:basedOn w:val="Normal"/>
    <w:uiPriority w:val="99"/>
    <w:unhideWhenUsed/>
    <w:rsid w:val="006C7530"/>
    <w:pPr>
      <w:spacing w:before="100" w:beforeAutospacing="1" w:after="100" w:afterAutospacing="1"/>
    </w:pPr>
    <w:rPr>
      <w:rFonts w:ascii="Times" w:hAnsi="Times"/>
      <w:sz w:val="20"/>
      <w:szCs w:val="20"/>
      <w:lang w:val="es-ES"/>
    </w:rPr>
  </w:style>
  <w:style w:type="paragraph" w:customStyle="1" w:styleId="Default">
    <w:name w:val="Default"/>
    <w:rsid w:val="00555D0B"/>
    <w:pPr>
      <w:widowControl w:val="0"/>
      <w:autoSpaceDE w:val="0"/>
      <w:autoSpaceDN w:val="0"/>
      <w:adjustRightInd w:val="0"/>
    </w:pPr>
    <w:rPr>
      <w:rFonts w:ascii="Times" w:hAnsi="Times" w:cs="Times"/>
      <w:color w:val="000000"/>
      <w:sz w:val="24"/>
      <w:szCs w:val="24"/>
    </w:rPr>
  </w:style>
  <w:style w:type="paragraph" w:customStyle="1" w:styleId="Pa8">
    <w:name w:val="Pa8"/>
    <w:basedOn w:val="Default"/>
    <w:next w:val="Default"/>
    <w:uiPriority w:val="99"/>
    <w:rsid w:val="00555D0B"/>
    <w:pPr>
      <w:spacing w:line="201" w:lineRule="atLeast"/>
    </w:pPr>
    <w:rPr>
      <w:rFonts w:cs="Times New Roman"/>
      <w:color w:val="auto"/>
    </w:rPr>
  </w:style>
  <w:style w:type="character" w:customStyle="1" w:styleId="A4">
    <w:name w:val="A4"/>
    <w:uiPriority w:val="99"/>
    <w:rsid w:val="00555D0B"/>
    <w:rPr>
      <w:rFonts w:cs="Times"/>
      <w:color w:val="211D1E"/>
      <w:sz w:val="14"/>
      <w:szCs w:val="14"/>
    </w:rPr>
  </w:style>
  <w:style w:type="paragraph" w:customStyle="1" w:styleId="Paragraph">
    <w:name w:val="Paragraph"/>
    <w:basedOn w:val="Normal"/>
    <w:next w:val="Normal"/>
    <w:qFormat/>
    <w:rsid w:val="002774D3"/>
    <w:pPr>
      <w:widowControl w:val="0"/>
      <w:spacing w:before="240" w:line="480" w:lineRule="auto"/>
    </w:pPr>
    <w:rPr>
      <w:rFonts w:ascii="Times New Roman" w:eastAsia="Times New Roman" w:hAnsi="Times New Roman"/>
      <w:lang w:eastAsia="en-GB"/>
    </w:rPr>
  </w:style>
  <w:style w:type="paragraph" w:customStyle="1" w:styleId="Newparagraph">
    <w:name w:val="New paragraph"/>
    <w:basedOn w:val="Normal"/>
    <w:qFormat/>
    <w:rsid w:val="00015C95"/>
    <w:pPr>
      <w:spacing w:line="480" w:lineRule="auto"/>
      <w:ind w:firstLine="720"/>
    </w:pPr>
    <w:rPr>
      <w:rFonts w:ascii="Times New Roman" w:eastAsia="Times New Roman" w:hAnsi="Times New Roman"/>
      <w:lang w:eastAsia="en-GB"/>
    </w:rPr>
  </w:style>
  <w:style w:type="table" w:styleId="Tablaconcuadrcula">
    <w:name w:val="Table Grid"/>
    <w:basedOn w:val="Tablanormal"/>
    <w:uiPriority w:val="59"/>
    <w:rsid w:val="006D2BB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link w:val="Ttulo3"/>
    <w:uiPriority w:val="9"/>
    <w:rsid w:val="00ED18DC"/>
    <w:rPr>
      <w:rFonts w:ascii="Times" w:hAnsi="Times"/>
      <w:b/>
      <w:bCs/>
      <w:sz w:val="27"/>
      <w:szCs w:val="27"/>
      <w:lang w:val="es-ES"/>
    </w:rPr>
  </w:style>
  <w:style w:type="character" w:styleId="Refdecomentario">
    <w:name w:val="annotation reference"/>
    <w:uiPriority w:val="99"/>
    <w:semiHidden/>
    <w:unhideWhenUsed/>
    <w:rsid w:val="0063745A"/>
    <w:rPr>
      <w:sz w:val="18"/>
      <w:szCs w:val="18"/>
    </w:rPr>
  </w:style>
  <w:style w:type="paragraph" w:styleId="Textocomentario">
    <w:name w:val="annotation text"/>
    <w:basedOn w:val="Normal"/>
    <w:link w:val="TextocomentarioCar"/>
    <w:uiPriority w:val="99"/>
    <w:semiHidden/>
    <w:unhideWhenUsed/>
    <w:rsid w:val="0063745A"/>
  </w:style>
  <w:style w:type="character" w:customStyle="1" w:styleId="TextocomentarioCar">
    <w:name w:val="Texto comentario Car"/>
    <w:basedOn w:val="Fuentedeprrafopredeter"/>
    <w:link w:val="Textocomentario"/>
    <w:uiPriority w:val="99"/>
    <w:semiHidden/>
    <w:rsid w:val="0063745A"/>
  </w:style>
  <w:style w:type="paragraph" w:styleId="Asuntodelcomentario">
    <w:name w:val="annotation subject"/>
    <w:basedOn w:val="Textocomentario"/>
    <w:next w:val="Textocomentario"/>
    <w:link w:val="AsuntodelcomentarioCar"/>
    <w:uiPriority w:val="99"/>
    <w:semiHidden/>
    <w:unhideWhenUsed/>
    <w:rsid w:val="0063745A"/>
    <w:rPr>
      <w:b/>
      <w:bCs/>
      <w:sz w:val="20"/>
      <w:szCs w:val="20"/>
    </w:rPr>
  </w:style>
  <w:style w:type="character" w:customStyle="1" w:styleId="AsuntodelcomentarioCar">
    <w:name w:val="Asunto del comentario Car"/>
    <w:link w:val="Asuntodelcomentario"/>
    <w:uiPriority w:val="99"/>
    <w:semiHidden/>
    <w:rsid w:val="0063745A"/>
    <w:rPr>
      <w:b/>
      <w:bCs/>
      <w:sz w:val="20"/>
      <w:szCs w:val="20"/>
    </w:rPr>
  </w:style>
  <w:style w:type="paragraph" w:styleId="Textodeglobo">
    <w:name w:val="Balloon Text"/>
    <w:basedOn w:val="Normal"/>
    <w:link w:val="TextodegloboCar"/>
    <w:uiPriority w:val="99"/>
    <w:semiHidden/>
    <w:unhideWhenUsed/>
    <w:rsid w:val="0063745A"/>
    <w:rPr>
      <w:rFonts w:ascii="Lucida Grande" w:hAnsi="Lucida Grande" w:cs="Lucida Grande"/>
      <w:sz w:val="18"/>
      <w:szCs w:val="18"/>
    </w:rPr>
  </w:style>
  <w:style w:type="character" w:customStyle="1" w:styleId="TextodegloboCar">
    <w:name w:val="Texto de globo Car"/>
    <w:link w:val="Textodeglobo"/>
    <w:uiPriority w:val="99"/>
    <w:semiHidden/>
    <w:rsid w:val="0063745A"/>
    <w:rPr>
      <w:rFonts w:ascii="Lucida Grande" w:hAnsi="Lucida Grande" w:cs="Lucida Grande"/>
      <w:sz w:val="18"/>
      <w:szCs w:val="18"/>
    </w:rPr>
  </w:style>
  <w:style w:type="character" w:customStyle="1" w:styleId="Ttulo2Car">
    <w:name w:val="Título 2 Car"/>
    <w:link w:val="Ttulo2"/>
    <w:uiPriority w:val="9"/>
    <w:rsid w:val="00156C18"/>
    <w:rPr>
      <w:rFonts w:ascii="Calibri" w:eastAsia="MS Gothic" w:hAnsi="Calibri" w:cs="Times New Roman"/>
      <w:color w:val="365F91"/>
      <w:sz w:val="26"/>
      <w:szCs w:val="26"/>
    </w:rPr>
  </w:style>
  <w:style w:type="table" w:customStyle="1" w:styleId="Tabladecuadrcula1clara-nfasis11">
    <w:name w:val="Tabla de cuadrícula 1 clara - Énfasis 11"/>
    <w:basedOn w:val="Tablanormal"/>
    <w:uiPriority w:val="46"/>
    <w:rsid w:val="00156C18"/>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paragraph" w:styleId="Prrafodelista">
    <w:name w:val="List Paragraph"/>
    <w:basedOn w:val="Normal"/>
    <w:uiPriority w:val="34"/>
    <w:qFormat/>
    <w:rsid w:val="00156C18"/>
    <w:pPr>
      <w:ind w:left="720"/>
      <w:contextualSpacing/>
    </w:pPr>
  </w:style>
  <w:style w:type="table" w:customStyle="1" w:styleId="Cuadrculadetablaclara1">
    <w:name w:val="Cuadrícula de tabla clara1"/>
    <w:basedOn w:val="Tablanormal"/>
    <w:uiPriority w:val="40"/>
    <w:rsid w:val="00156C18"/>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Ttulo1Car">
    <w:name w:val="Título 1 Car"/>
    <w:link w:val="Ttulo1"/>
    <w:uiPriority w:val="9"/>
    <w:rsid w:val="00DC1426"/>
    <w:rPr>
      <w:rFonts w:ascii="Times New Roman" w:eastAsia="Times New Roman" w:hAnsi="Times New Roman" w:cs="Times New Roman"/>
      <w:b/>
      <w:color w:val="1C1D1E"/>
      <w:sz w:val="32"/>
      <w:szCs w:val="32"/>
      <w:lang w:val="es-ES"/>
    </w:rPr>
  </w:style>
  <w:style w:type="character" w:customStyle="1" w:styleId="Ttulo4Car">
    <w:name w:val="Título 4 Car"/>
    <w:link w:val="Ttulo4"/>
    <w:uiPriority w:val="9"/>
    <w:semiHidden/>
    <w:rsid w:val="00DC1426"/>
    <w:rPr>
      <w:rFonts w:ascii="Calibri" w:eastAsia="MS Gothic" w:hAnsi="Calibri" w:cs="Times New Roman"/>
      <w:i/>
      <w:iCs/>
      <w:color w:val="365F91"/>
    </w:rPr>
  </w:style>
  <w:style w:type="character" w:customStyle="1" w:styleId="Ttulo5Car">
    <w:name w:val="Título 5 Car"/>
    <w:link w:val="Ttulo5"/>
    <w:uiPriority w:val="9"/>
    <w:semiHidden/>
    <w:rsid w:val="00DC1426"/>
    <w:rPr>
      <w:rFonts w:ascii="Calibri" w:eastAsia="MS Gothic" w:hAnsi="Calibri" w:cs="Times New Roman"/>
      <w:color w:val="365F91"/>
    </w:rPr>
  </w:style>
  <w:style w:type="character" w:customStyle="1" w:styleId="Ttulo6Car">
    <w:name w:val="Título 6 Car"/>
    <w:link w:val="Ttulo6"/>
    <w:uiPriority w:val="9"/>
    <w:semiHidden/>
    <w:rsid w:val="00DC1426"/>
    <w:rPr>
      <w:rFonts w:ascii="Calibri" w:eastAsia="MS Gothic" w:hAnsi="Calibri" w:cs="Times New Roman"/>
      <w:color w:val="243F60"/>
    </w:rPr>
  </w:style>
  <w:style w:type="character" w:customStyle="1" w:styleId="Ttulo7Car">
    <w:name w:val="Título 7 Car"/>
    <w:link w:val="Ttulo7"/>
    <w:uiPriority w:val="9"/>
    <w:semiHidden/>
    <w:rsid w:val="00DC1426"/>
    <w:rPr>
      <w:rFonts w:ascii="Calibri" w:eastAsia="MS Gothic" w:hAnsi="Calibri" w:cs="Times New Roman"/>
      <w:i/>
      <w:iCs/>
      <w:color w:val="243F60"/>
    </w:rPr>
  </w:style>
  <w:style w:type="character" w:customStyle="1" w:styleId="Ttulo8Car">
    <w:name w:val="Título 8 Car"/>
    <w:link w:val="Ttulo8"/>
    <w:uiPriority w:val="9"/>
    <w:semiHidden/>
    <w:rsid w:val="00DC1426"/>
    <w:rPr>
      <w:rFonts w:ascii="Calibri" w:eastAsia="MS Gothic" w:hAnsi="Calibri" w:cs="Times New Roman"/>
      <w:color w:val="272727"/>
      <w:sz w:val="21"/>
      <w:szCs w:val="21"/>
    </w:rPr>
  </w:style>
  <w:style w:type="character" w:customStyle="1" w:styleId="Ttulo9Car">
    <w:name w:val="Título 9 Car"/>
    <w:link w:val="Ttulo9"/>
    <w:uiPriority w:val="9"/>
    <w:semiHidden/>
    <w:rsid w:val="00DC1426"/>
    <w:rPr>
      <w:rFonts w:ascii="Calibri" w:eastAsia="MS Gothic" w:hAnsi="Calibri" w:cs="Times New Roman"/>
      <w:i/>
      <w:iCs/>
      <w:color w:val="272727"/>
      <w:sz w:val="21"/>
      <w:szCs w:val="21"/>
    </w:rPr>
  </w:style>
  <w:style w:type="paragraph" w:styleId="Descripcin">
    <w:name w:val="caption"/>
    <w:basedOn w:val="Normal"/>
    <w:next w:val="Normal"/>
    <w:uiPriority w:val="35"/>
    <w:unhideWhenUsed/>
    <w:qFormat/>
    <w:rsid w:val="000668BE"/>
    <w:pPr>
      <w:spacing w:after="200"/>
    </w:pPr>
    <w:rPr>
      <w:i/>
      <w:iCs/>
      <w:color w:val="1F497D"/>
      <w:sz w:val="18"/>
      <w:szCs w:val="18"/>
    </w:rPr>
  </w:style>
  <w:style w:type="paragraph" w:styleId="Revisin">
    <w:name w:val="Revision"/>
    <w:hidden/>
    <w:uiPriority w:val="99"/>
    <w:semiHidden/>
    <w:rsid w:val="00836357"/>
    <w:rPr>
      <w:sz w:val="24"/>
      <w:szCs w:val="24"/>
      <w:lang w:val="es-ES_tradnl"/>
    </w:rPr>
  </w:style>
  <w:style w:type="paragraph" w:styleId="Textonotapie">
    <w:name w:val="footnote text"/>
    <w:basedOn w:val="Normal"/>
    <w:link w:val="TextonotapieCar"/>
    <w:uiPriority w:val="99"/>
    <w:unhideWhenUsed/>
    <w:rsid w:val="00A556A8"/>
    <w:pPr>
      <w:jc w:val="both"/>
    </w:pPr>
    <w:rPr>
      <w:rFonts w:eastAsia="Cambria"/>
      <w:sz w:val="20"/>
      <w:szCs w:val="20"/>
      <w:lang w:val="es-ES" w:eastAsia="en-US"/>
    </w:rPr>
  </w:style>
  <w:style w:type="character" w:customStyle="1" w:styleId="TextonotapieCar">
    <w:name w:val="Texto nota pie Car"/>
    <w:link w:val="Textonotapie"/>
    <w:uiPriority w:val="99"/>
    <w:rsid w:val="00A556A8"/>
    <w:rPr>
      <w:rFonts w:eastAsia="Cambria"/>
      <w:sz w:val="20"/>
      <w:szCs w:val="20"/>
      <w:lang w:val="es-ES" w:eastAsia="en-US"/>
    </w:rPr>
  </w:style>
  <w:style w:type="character" w:styleId="Refdenotaalpie">
    <w:name w:val="footnote reference"/>
    <w:uiPriority w:val="99"/>
    <w:semiHidden/>
    <w:unhideWhenUsed/>
    <w:rsid w:val="00A556A8"/>
    <w:rPr>
      <w:vertAlign w:val="superscript"/>
    </w:rPr>
  </w:style>
  <w:style w:type="paragraph" w:customStyle="1" w:styleId="Els-bulletlist">
    <w:name w:val="Els-bulletlist"/>
    <w:basedOn w:val="Normal"/>
    <w:rsid w:val="002E3F8C"/>
    <w:pPr>
      <w:numPr>
        <w:numId w:val="12"/>
      </w:numPr>
      <w:tabs>
        <w:tab w:val="left" w:pos="240"/>
      </w:tabs>
      <w:spacing w:line="240" w:lineRule="exact"/>
    </w:pPr>
    <w:rPr>
      <w:rFonts w:ascii="Times New Roman" w:eastAsia="SimSun" w:hAnsi="Times New Roman"/>
      <w:sz w:val="20"/>
      <w:szCs w:val="20"/>
      <w:lang w:val="en-US" w:eastAsia="en-US"/>
    </w:rPr>
  </w:style>
  <w:style w:type="character" w:styleId="Refdenotaalfinal">
    <w:name w:val="endnote reference"/>
    <w:uiPriority w:val="99"/>
    <w:semiHidden/>
    <w:unhideWhenUsed/>
    <w:rsid w:val="00576B04"/>
    <w:rPr>
      <w:vertAlign w:val="superscript"/>
    </w:rPr>
  </w:style>
  <w:style w:type="character" w:styleId="Hipervnculovisitado">
    <w:name w:val="FollowedHyperlink"/>
    <w:basedOn w:val="Fuentedeprrafopredeter"/>
    <w:uiPriority w:val="99"/>
    <w:semiHidden/>
    <w:unhideWhenUsed/>
    <w:rsid w:val="00DC71B4"/>
    <w:rPr>
      <w:color w:val="800080" w:themeColor="followedHyperlink"/>
      <w:u w:val="single"/>
    </w:rPr>
  </w:style>
  <w:style w:type="character" w:styleId="Mencinsinresolver">
    <w:name w:val="Unresolved Mention"/>
    <w:basedOn w:val="Fuentedeprrafopredeter"/>
    <w:uiPriority w:val="99"/>
    <w:semiHidden/>
    <w:unhideWhenUsed/>
    <w:rsid w:val="00DC71B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8146190">
      <w:bodyDiv w:val="1"/>
      <w:marLeft w:val="0"/>
      <w:marRight w:val="0"/>
      <w:marTop w:val="0"/>
      <w:marBottom w:val="0"/>
      <w:divBdr>
        <w:top w:val="none" w:sz="0" w:space="0" w:color="auto"/>
        <w:left w:val="none" w:sz="0" w:space="0" w:color="auto"/>
        <w:bottom w:val="none" w:sz="0" w:space="0" w:color="auto"/>
        <w:right w:val="none" w:sz="0" w:space="0" w:color="auto"/>
      </w:divBdr>
    </w:div>
    <w:div w:id="44958633">
      <w:bodyDiv w:val="1"/>
      <w:marLeft w:val="0"/>
      <w:marRight w:val="0"/>
      <w:marTop w:val="0"/>
      <w:marBottom w:val="0"/>
      <w:divBdr>
        <w:top w:val="none" w:sz="0" w:space="0" w:color="auto"/>
        <w:left w:val="none" w:sz="0" w:space="0" w:color="auto"/>
        <w:bottom w:val="none" w:sz="0" w:space="0" w:color="auto"/>
        <w:right w:val="none" w:sz="0" w:space="0" w:color="auto"/>
      </w:divBdr>
    </w:div>
    <w:div w:id="67386552">
      <w:bodyDiv w:val="1"/>
      <w:marLeft w:val="0"/>
      <w:marRight w:val="0"/>
      <w:marTop w:val="0"/>
      <w:marBottom w:val="0"/>
      <w:divBdr>
        <w:top w:val="none" w:sz="0" w:space="0" w:color="auto"/>
        <w:left w:val="none" w:sz="0" w:space="0" w:color="auto"/>
        <w:bottom w:val="none" w:sz="0" w:space="0" w:color="auto"/>
        <w:right w:val="none" w:sz="0" w:space="0" w:color="auto"/>
      </w:divBdr>
      <w:divsChild>
        <w:div w:id="1972246923">
          <w:marLeft w:val="0"/>
          <w:marRight w:val="0"/>
          <w:marTop w:val="0"/>
          <w:marBottom w:val="0"/>
          <w:divBdr>
            <w:top w:val="none" w:sz="0" w:space="0" w:color="auto"/>
            <w:left w:val="none" w:sz="0" w:space="0" w:color="auto"/>
            <w:bottom w:val="none" w:sz="0" w:space="0" w:color="auto"/>
            <w:right w:val="none" w:sz="0" w:space="0" w:color="auto"/>
          </w:divBdr>
          <w:divsChild>
            <w:div w:id="1849058170">
              <w:marLeft w:val="0"/>
              <w:marRight w:val="0"/>
              <w:marTop w:val="0"/>
              <w:marBottom w:val="0"/>
              <w:divBdr>
                <w:top w:val="none" w:sz="0" w:space="0" w:color="auto"/>
                <w:left w:val="none" w:sz="0" w:space="0" w:color="auto"/>
                <w:bottom w:val="none" w:sz="0" w:space="0" w:color="auto"/>
                <w:right w:val="none" w:sz="0" w:space="0" w:color="auto"/>
              </w:divBdr>
              <w:divsChild>
                <w:div w:id="1453279643">
                  <w:marLeft w:val="0"/>
                  <w:marRight w:val="0"/>
                  <w:marTop w:val="0"/>
                  <w:marBottom w:val="0"/>
                  <w:divBdr>
                    <w:top w:val="none" w:sz="0" w:space="0" w:color="auto"/>
                    <w:left w:val="none" w:sz="0" w:space="0" w:color="auto"/>
                    <w:bottom w:val="none" w:sz="0" w:space="0" w:color="auto"/>
                    <w:right w:val="none" w:sz="0" w:space="0" w:color="auto"/>
                  </w:divBdr>
                  <w:divsChild>
                    <w:div w:id="170879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847082">
      <w:bodyDiv w:val="1"/>
      <w:marLeft w:val="0"/>
      <w:marRight w:val="0"/>
      <w:marTop w:val="0"/>
      <w:marBottom w:val="0"/>
      <w:divBdr>
        <w:top w:val="none" w:sz="0" w:space="0" w:color="auto"/>
        <w:left w:val="none" w:sz="0" w:space="0" w:color="auto"/>
        <w:bottom w:val="none" w:sz="0" w:space="0" w:color="auto"/>
        <w:right w:val="none" w:sz="0" w:space="0" w:color="auto"/>
      </w:divBdr>
    </w:div>
    <w:div w:id="196087263">
      <w:bodyDiv w:val="1"/>
      <w:marLeft w:val="0"/>
      <w:marRight w:val="0"/>
      <w:marTop w:val="0"/>
      <w:marBottom w:val="0"/>
      <w:divBdr>
        <w:top w:val="none" w:sz="0" w:space="0" w:color="auto"/>
        <w:left w:val="none" w:sz="0" w:space="0" w:color="auto"/>
        <w:bottom w:val="none" w:sz="0" w:space="0" w:color="auto"/>
        <w:right w:val="none" w:sz="0" w:space="0" w:color="auto"/>
      </w:divBdr>
      <w:divsChild>
        <w:div w:id="298656225">
          <w:marLeft w:val="0"/>
          <w:marRight w:val="0"/>
          <w:marTop w:val="0"/>
          <w:marBottom w:val="0"/>
          <w:divBdr>
            <w:top w:val="none" w:sz="0" w:space="0" w:color="auto"/>
            <w:left w:val="none" w:sz="0" w:space="0" w:color="auto"/>
            <w:bottom w:val="none" w:sz="0" w:space="0" w:color="auto"/>
            <w:right w:val="none" w:sz="0" w:space="0" w:color="auto"/>
          </w:divBdr>
        </w:div>
        <w:div w:id="897281321">
          <w:marLeft w:val="0"/>
          <w:marRight w:val="0"/>
          <w:marTop w:val="0"/>
          <w:marBottom w:val="0"/>
          <w:divBdr>
            <w:top w:val="none" w:sz="0" w:space="0" w:color="auto"/>
            <w:left w:val="none" w:sz="0" w:space="0" w:color="auto"/>
            <w:bottom w:val="none" w:sz="0" w:space="0" w:color="auto"/>
            <w:right w:val="none" w:sz="0" w:space="0" w:color="auto"/>
          </w:divBdr>
        </w:div>
        <w:div w:id="1583876230">
          <w:marLeft w:val="0"/>
          <w:marRight w:val="0"/>
          <w:marTop w:val="0"/>
          <w:marBottom w:val="0"/>
          <w:divBdr>
            <w:top w:val="none" w:sz="0" w:space="0" w:color="auto"/>
            <w:left w:val="none" w:sz="0" w:space="0" w:color="auto"/>
            <w:bottom w:val="none" w:sz="0" w:space="0" w:color="auto"/>
            <w:right w:val="none" w:sz="0" w:space="0" w:color="auto"/>
          </w:divBdr>
        </w:div>
      </w:divsChild>
    </w:div>
    <w:div w:id="306133249">
      <w:bodyDiv w:val="1"/>
      <w:marLeft w:val="0"/>
      <w:marRight w:val="0"/>
      <w:marTop w:val="0"/>
      <w:marBottom w:val="0"/>
      <w:divBdr>
        <w:top w:val="none" w:sz="0" w:space="0" w:color="auto"/>
        <w:left w:val="none" w:sz="0" w:space="0" w:color="auto"/>
        <w:bottom w:val="none" w:sz="0" w:space="0" w:color="auto"/>
        <w:right w:val="none" w:sz="0" w:space="0" w:color="auto"/>
      </w:divBdr>
    </w:div>
    <w:div w:id="315695843">
      <w:bodyDiv w:val="1"/>
      <w:marLeft w:val="0"/>
      <w:marRight w:val="0"/>
      <w:marTop w:val="0"/>
      <w:marBottom w:val="0"/>
      <w:divBdr>
        <w:top w:val="none" w:sz="0" w:space="0" w:color="auto"/>
        <w:left w:val="none" w:sz="0" w:space="0" w:color="auto"/>
        <w:bottom w:val="none" w:sz="0" w:space="0" w:color="auto"/>
        <w:right w:val="none" w:sz="0" w:space="0" w:color="auto"/>
      </w:divBdr>
    </w:div>
    <w:div w:id="522790755">
      <w:bodyDiv w:val="1"/>
      <w:marLeft w:val="0"/>
      <w:marRight w:val="0"/>
      <w:marTop w:val="0"/>
      <w:marBottom w:val="0"/>
      <w:divBdr>
        <w:top w:val="none" w:sz="0" w:space="0" w:color="auto"/>
        <w:left w:val="none" w:sz="0" w:space="0" w:color="auto"/>
        <w:bottom w:val="none" w:sz="0" w:space="0" w:color="auto"/>
        <w:right w:val="none" w:sz="0" w:space="0" w:color="auto"/>
      </w:divBdr>
    </w:div>
    <w:div w:id="539242805">
      <w:bodyDiv w:val="1"/>
      <w:marLeft w:val="0"/>
      <w:marRight w:val="0"/>
      <w:marTop w:val="0"/>
      <w:marBottom w:val="0"/>
      <w:divBdr>
        <w:top w:val="none" w:sz="0" w:space="0" w:color="auto"/>
        <w:left w:val="none" w:sz="0" w:space="0" w:color="auto"/>
        <w:bottom w:val="none" w:sz="0" w:space="0" w:color="auto"/>
        <w:right w:val="none" w:sz="0" w:space="0" w:color="auto"/>
      </w:divBdr>
    </w:div>
    <w:div w:id="549809998">
      <w:bodyDiv w:val="1"/>
      <w:marLeft w:val="0"/>
      <w:marRight w:val="0"/>
      <w:marTop w:val="0"/>
      <w:marBottom w:val="0"/>
      <w:divBdr>
        <w:top w:val="none" w:sz="0" w:space="0" w:color="auto"/>
        <w:left w:val="none" w:sz="0" w:space="0" w:color="auto"/>
        <w:bottom w:val="none" w:sz="0" w:space="0" w:color="auto"/>
        <w:right w:val="none" w:sz="0" w:space="0" w:color="auto"/>
      </w:divBdr>
      <w:divsChild>
        <w:div w:id="940836131">
          <w:marLeft w:val="0"/>
          <w:marRight w:val="0"/>
          <w:marTop w:val="166"/>
          <w:marBottom w:val="166"/>
          <w:divBdr>
            <w:top w:val="none" w:sz="0" w:space="0" w:color="auto"/>
            <w:left w:val="none" w:sz="0" w:space="0" w:color="auto"/>
            <w:bottom w:val="none" w:sz="0" w:space="0" w:color="auto"/>
            <w:right w:val="none" w:sz="0" w:space="0" w:color="auto"/>
          </w:divBdr>
          <w:divsChild>
            <w:div w:id="316879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6044098">
      <w:bodyDiv w:val="1"/>
      <w:marLeft w:val="0"/>
      <w:marRight w:val="0"/>
      <w:marTop w:val="0"/>
      <w:marBottom w:val="0"/>
      <w:divBdr>
        <w:top w:val="none" w:sz="0" w:space="0" w:color="auto"/>
        <w:left w:val="none" w:sz="0" w:space="0" w:color="auto"/>
        <w:bottom w:val="none" w:sz="0" w:space="0" w:color="auto"/>
        <w:right w:val="none" w:sz="0" w:space="0" w:color="auto"/>
      </w:divBdr>
    </w:div>
    <w:div w:id="633172567">
      <w:bodyDiv w:val="1"/>
      <w:marLeft w:val="0"/>
      <w:marRight w:val="0"/>
      <w:marTop w:val="0"/>
      <w:marBottom w:val="0"/>
      <w:divBdr>
        <w:top w:val="none" w:sz="0" w:space="0" w:color="auto"/>
        <w:left w:val="none" w:sz="0" w:space="0" w:color="auto"/>
        <w:bottom w:val="none" w:sz="0" w:space="0" w:color="auto"/>
        <w:right w:val="none" w:sz="0" w:space="0" w:color="auto"/>
      </w:divBdr>
    </w:div>
    <w:div w:id="901986365">
      <w:bodyDiv w:val="1"/>
      <w:marLeft w:val="0"/>
      <w:marRight w:val="0"/>
      <w:marTop w:val="0"/>
      <w:marBottom w:val="0"/>
      <w:divBdr>
        <w:top w:val="none" w:sz="0" w:space="0" w:color="auto"/>
        <w:left w:val="none" w:sz="0" w:space="0" w:color="auto"/>
        <w:bottom w:val="none" w:sz="0" w:space="0" w:color="auto"/>
        <w:right w:val="none" w:sz="0" w:space="0" w:color="auto"/>
      </w:divBdr>
    </w:div>
    <w:div w:id="929848610">
      <w:bodyDiv w:val="1"/>
      <w:marLeft w:val="0"/>
      <w:marRight w:val="0"/>
      <w:marTop w:val="0"/>
      <w:marBottom w:val="0"/>
      <w:divBdr>
        <w:top w:val="none" w:sz="0" w:space="0" w:color="auto"/>
        <w:left w:val="none" w:sz="0" w:space="0" w:color="auto"/>
        <w:bottom w:val="none" w:sz="0" w:space="0" w:color="auto"/>
        <w:right w:val="none" w:sz="0" w:space="0" w:color="auto"/>
      </w:divBdr>
    </w:div>
    <w:div w:id="1047880349">
      <w:bodyDiv w:val="1"/>
      <w:marLeft w:val="0"/>
      <w:marRight w:val="0"/>
      <w:marTop w:val="0"/>
      <w:marBottom w:val="0"/>
      <w:divBdr>
        <w:top w:val="none" w:sz="0" w:space="0" w:color="auto"/>
        <w:left w:val="none" w:sz="0" w:space="0" w:color="auto"/>
        <w:bottom w:val="none" w:sz="0" w:space="0" w:color="auto"/>
        <w:right w:val="none" w:sz="0" w:space="0" w:color="auto"/>
      </w:divBdr>
    </w:div>
    <w:div w:id="1139490364">
      <w:bodyDiv w:val="1"/>
      <w:marLeft w:val="0"/>
      <w:marRight w:val="0"/>
      <w:marTop w:val="0"/>
      <w:marBottom w:val="0"/>
      <w:divBdr>
        <w:top w:val="none" w:sz="0" w:space="0" w:color="auto"/>
        <w:left w:val="none" w:sz="0" w:space="0" w:color="auto"/>
        <w:bottom w:val="none" w:sz="0" w:space="0" w:color="auto"/>
        <w:right w:val="none" w:sz="0" w:space="0" w:color="auto"/>
      </w:divBdr>
    </w:div>
    <w:div w:id="1181579786">
      <w:bodyDiv w:val="1"/>
      <w:marLeft w:val="0"/>
      <w:marRight w:val="0"/>
      <w:marTop w:val="0"/>
      <w:marBottom w:val="0"/>
      <w:divBdr>
        <w:top w:val="none" w:sz="0" w:space="0" w:color="auto"/>
        <w:left w:val="none" w:sz="0" w:space="0" w:color="auto"/>
        <w:bottom w:val="none" w:sz="0" w:space="0" w:color="auto"/>
        <w:right w:val="none" w:sz="0" w:space="0" w:color="auto"/>
      </w:divBdr>
    </w:div>
    <w:div w:id="1214777212">
      <w:bodyDiv w:val="1"/>
      <w:marLeft w:val="0"/>
      <w:marRight w:val="0"/>
      <w:marTop w:val="0"/>
      <w:marBottom w:val="0"/>
      <w:divBdr>
        <w:top w:val="none" w:sz="0" w:space="0" w:color="auto"/>
        <w:left w:val="none" w:sz="0" w:space="0" w:color="auto"/>
        <w:bottom w:val="none" w:sz="0" w:space="0" w:color="auto"/>
        <w:right w:val="none" w:sz="0" w:space="0" w:color="auto"/>
      </w:divBdr>
    </w:div>
    <w:div w:id="1302274759">
      <w:bodyDiv w:val="1"/>
      <w:marLeft w:val="0"/>
      <w:marRight w:val="0"/>
      <w:marTop w:val="0"/>
      <w:marBottom w:val="0"/>
      <w:divBdr>
        <w:top w:val="none" w:sz="0" w:space="0" w:color="auto"/>
        <w:left w:val="none" w:sz="0" w:space="0" w:color="auto"/>
        <w:bottom w:val="none" w:sz="0" w:space="0" w:color="auto"/>
        <w:right w:val="none" w:sz="0" w:space="0" w:color="auto"/>
      </w:divBdr>
    </w:div>
    <w:div w:id="1513107267">
      <w:bodyDiv w:val="1"/>
      <w:marLeft w:val="0"/>
      <w:marRight w:val="0"/>
      <w:marTop w:val="0"/>
      <w:marBottom w:val="0"/>
      <w:divBdr>
        <w:top w:val="none" w:sz="0" w:space="0" w:color="auto"/>
        <w:left w:val="none" w:sz="0" w:space="0" w:color="auto"/>
        <w:bottom w:val="none" w:sz="0" w:space="0" w:color="auto"/>
        <w:right w:val="none" w:sz="0" w:space="0" w:color="auto"/>
      </w:divBdr>
      <w:divsChild>
        <w:div w:id="591351204">
          <w:marLeft w:val="0"/>
          <w:marRight w:val="0"/>
          <w:marTop w:val="0"/>
          <w:marBottom w:val="0"/>
          <w:divBdr>
            <w:top w:val="none" w:sz="0" w:space="0" w:color="auto"/>
            <w:left w:val="none" w:sz="0" w:space="0" w:color="auto"/>
            <w:bottom w:val="none" w:sz="0" w:space="0" w:color="auto"/>
            <w:right w:val="none" w:sz="0" w:space="0" w:color="auto"/>
          </w:divBdr>
        </w:div>
        <w:div w:id="983122491">
          <w:marLeft w:val="0"/>
          <w:marRight w:val="0"/>
          <w:marTop w:val="0"/>
          <w:marBottom w:val="0"/>
          <w:divBdr>
            <w:top w:val="none" w:sz="0" w:space="0" w:color="auto"/>
            <w:left w:val="none" w:sz="0" w:space="0" w:color="auto"/>
            <w:bottom w:val="none" w:sz="0" w:space="0" w:color="auto"/>
            <w:right w:val="none" w:sz="0" w:space="0" w:color="auto"/>
          </w:divBdr>
        </w:div>
        <w:div w:id="1117484645">
          <w:marLeft w:val="0"/>
          <w:marRight w:val="0"/>
          <w:marTop w:val="0"/>
          <w:marBottom w:val="0"/>
          <w:divBdr>
            <w:top w:val="none" w:sz="0" w:space="0" w:color="auto"/>
            <w:left w:val="none" w:sz="0" w:space="0" w:color="auto"/>
            <w:bottom w:val="none" w:sz="0" w:space="0" w:color="auto"/>
            <w:right w:val="none" w:sz="0" w:space="0" w:color="auto"/>
          </w:divBdr>
        </w:div>
      </w:divsChild>
    </w:div>
    <w:div w:id="1774201267">
      <w:bodyDiv w:val="1"/>
      <w:marLeft w:val="0"/>
      <w:marRight w:val="0"/>
      <w:marTop w:val="0"/>
      <w:marBottom w:val="0"/>
      <w:divBdr>
        <w:top w:val="none" w:sz="0" w:space="0" w:color="auto"/>
        <w:left w:val="none" w:sz="0" w:space="0" w:color="auto"/>
        <w:bottom w:val="none" w:sz="0" w:space="0" w:color="auto"/>
        <w:right w:val="none" w:sz="0" w:space="0" w:color="auto"/>
      </w:divBdr>
    </w:div>
    <w:div w:id="1853454243">
      <w:bodyDiv w:val="1"/>
      <w:marLeft w:val="0"/>
      <w:marRight w:val="0"/>
      <w:marTop w:val="0"/>
      <w:marBottom w:val="0"/>
      <w:divBdr>
        <w:top w:val="none" w:sz="0" w:space="0" w:color="auto"/>
        <w:left w:val="none" w:sz="0" w:space="0" w:color="auto"/>
        <w:bottom w:val="none" w:sz="0" w:space="0" w:color="auto"/>
        <w:right w:val="none" w:sz="0" w:space="0" w:color="auto"/>
      </w:divBdr>
    </w:div>
    <w:div w:id="1983923489">
      <w:bodyDiv w:val="1"/>
      <w:marLeft w:val="0"/>
      <w:marRight w:val="0"/>
      <w:marTop w:val="0"/>
      <w:marBottom w:val="0"/>
      <w:divBdr>
        <w:top w:val="none" w:sz="0" w:space="0" w:color="auto"/>
        <w:left w:val="none" w:sz="0" w:space="0" w:color="auto"/>
        <w:bottom w:val="none" w:sz="0" w:space="0" w:color="auto"/>
        <w:right w:val="none" w:sz="0" w:space="0" w:color="auto"/>
      </w:divBdr>
    </w:div>
    <w:div w:id="201444965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CEA348-431F-4CC1-87A4-100931F355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26</Pages>
  <Words>22390</Words>
  <Characters>123150</Characters>
  <Application>Microsoft Office Word</Application>
  <DocSecurity>0</DocSecurity>
  <Lines>1026</Lines>
  <Paragraphs>290</Paragraphs>
  <ScaleCrop>false</ScaleCrop>
  <HeadingPairs>
    <vt:vector size="2" baseType="variant">
      <vt:variant>
        <vt:lpstr>Título</vt:lpstr>
      </vt:variant>
      <vt:variant>
        <vt:i4>1</vt:i4>
      </vt:variant>
    </vt:vector>
  </HeadingPairs>
  <TitlesOfParts>
    <vt:vector size="1" baseType="lpstr">
      <vt:lpstr/>
    </vt:vector>
  </TitlesOfParts>
  <Company>USC</Company>
  <LinksUpToDate>false</LinksUpToDate>
  <CharactersWithSpaces>145250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Facal</dc:creator>
  <cp:keywords/>
  <dc:description/>
  <cp:lastModifiedBy>LOJO SEOANE CRISTINA</cp:lastModifiedBy>
  <cp:revision>3</cp:revision>
  <dcterms:created xsi:type="dcterms:W3CDTF">2025-01-23T08:46:00Z</dcterms:created>
  <dcterms:modified xsi:type="dcterms:W3CDTF">2025-01-23T22:57:00Z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http://www.zotero.org/styles/information-sciences</vt:lpwstr>
  </property>
  <property fmtid="{D5CDD505-2E9C-101B-9397-08002B2CF9AE}" pid="15" name="Mendeley Recent Style Name 6_1">
    <vt:lpwstr>Information Sciences</vt:lpwstr>
  </property>
  <property fmtid="{D5CDD505-2E9C-101B-9397-08002B2CF9AE}" pid="16" name="Mendeley Recent Style Id 7_1">
    <vt:lpwstr>http://www.zotero.org/styles/international-journal-of-geriatric-psychiatry</vt:lpwstr>
  </property>
  <property fmtid="{D5CDD505-2E9C-101B-9397-08002B2CF9AE}" pid="17" name="Mendeley Recent Style Name 7_1">
    <vt:lpwstr>International Journal of Geriatric Psychiatry</vt:lpwstr>
  </property>
  <property fmtid="{D5CDD505-2E9C-101B-9397-08002B2CF9AE}" pid="18" name="Mendeley Recent Style Id 8_1">
    <vt:lpwstr>http://www.zotero.org/styles/journal-of-biomedical-informatics</vt:lpwstr>
  </property>
  <property fmtid="{D5CDD505-2E9C-101B-9397-08002B2CF9AE}" pid="19" name="Mendeley Recent Style Name 8_1">
    <vt:lpwstr>Journal of Biomedical Informatics</vt:lpwstr>
  </property>
  <property fmtid="{D5CDD505-2E9C-101B-9397-08002B2CF9AE}" pid="20" name="Mendeley Recent Style Id 9_1">
    <vt:lpwstr>http://www.zotero.org/styles/modern-humanities-research-association</vt:lpwstr>
  </property>
  <property fmtid="{D5CDD505-2E9C-101B-9397-08002B2CF9AE}" pid="21" name="Mendeley Recent Style Name 9_1">
    <vt:lpwstr>Modern Humanities Research Association 3rd edition (note with bibliography)</vt:lpwstr>
  </property>
  <property fmtid="{D5CDD505-2E9C-101B-9397-08002B2CF9AE}" pid="22" name="Mendeley Document_1">
    <vt:lpwstr>True</vt:lpwstr>
  </property>
  <property fmtid="{D5CDD505-2E9C-101B-9397-08002B2CF9AE}" pid="23" name="Mendeley Unique User Id_1">
    <vt:lpwstr>3b8a5d24-05b6-3e36-b7c3-dcf424f09ae6</vt:lpwstr>
  </property>
  <property fmtid="{D5CDD505-2E9C-101B-9397-08002B2CF9AE}" pid="24" name="Mendeley Citation Style_1">
    <vt:lpwstr>http://www.zotero.org/styles/american-medical-association</vt:lpwstr>
  </property>
</Properties>
</file>